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112F3" w14:textId="77777777" w:rsidR="003C668B" w:rsidRPr="003C668B" w:rsidRDefault="003C668B" w:rsidP="003C668B">
      <w:pPr>
        <w:jc w:val="center"/>
        <w:rPr>
          <w:rFonts w:ascii="Times New Roman" w:hAnsi="Times New Roman" w:cs="Times New Roman"/>
          <w:b/>
          <w:bCs/>
        </w:rPr>
      </w:pPr>
    </w:p>
    <w:p w14:paraId="0C0B3A3B" w14:textId="77777777" w:rsidR="003C668B" w:rsidRPr="003C668B" w:rsidRDefault="003C668B" w:rsidP="003C668B">
      <w:pPr>
        <w:rPr>
          <w:rFonts w:ascii="Times New Roman" w:hAnsi="Times New Roman" w:cs="Times New Roman"/>
          <w:b/>
          <w:bCs/>
        </w:rPr>
      </w:pPr>
    </w:p>
    <w:p w14:paraId="78927A6F" w14:textId="4610C2BA" w:rsidR="003C668B" w:rsidRPr="003C668B" w:rsidRDefault="003C668B" w:rsidP="003C668B">
      <w:pPr>
        <w:rPr>
          <w:rFonts w:ascii="Times New Roman" w:hAnsi="Times New Roman" w:cs="Times New Roman"/>
          <w:b/>
          <w:bCs/>
        </w:rPr>
      </w:pPr>
      <w:r w:rsidRPr="003C668B">
        <w:rPr>
          <w:rFonts w:ascii="Times New Roman" w:hAnsi="Times New Roman" w:cs="Times New Roman"/>
          <w:b/>
          <w:bCs/>
        </w:rPr>
        <w:t>TERMO DE REFERÊNCIA Nº 01/2026 – DE/DMP</w:t>
      </w:r>
    </w:p>
    <w:p w14:paraId="266FFE6B" w14:textId="77777777" w:rsidR="003C668B" w:rsidRPr="003C668B" w:rsidRDefault="003C668B" w:rsidP="003C668B">
      <w:pPr>
        <w:rPr>
          <w:rFonts w:ascii="Times New Roman" w:hAnsi="Times New Roman" w:cs="Times New Roman"/>
        </w:rPr>
      </w:pPr>
    </w:p>
    <w:p w14:paraId="31801FB8"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1. CONDIÇÕES GERAIS DA AQUISIÇÃO</w:t>
      </w:r>
    </w:p>
    <w:p w14:paraId="1B4DAF50" w14:textId="77777777" w:rsidR="003C668B" w:rsidRPr="003C668B" w:rsidRDefault="003C668B" w:rsidP="003C668B">
      <w:pPr>
        <w:ind w:right="-376"/>
        <w:jc w:val="both"/>
        <w:rPr>
          <w:rFonts w:ascii="Times New Roman" w:hAnsi="Times New Roman" w:cs="Times New Roman"/>
        </w:rPr>
      </w:pPr>
      <w:r w:rsidRPr="003C668B">
        <w:rPr>
          <w:rFonts w:ascii="Times New Roman" w:hAnsi="Times New Roman" w:cs="Times New Roman"/>
        </w:rPr>
        <w:t>1.1. O presente Termo de Referência tem por objeto a aquisição de materiais de consumo, por meio do Sistema de Registro de Preços (SRP), conforme condições, quantidades e especificações técnicas estabelecidas neste instrumento.</w:t>
      </w:r>
    </w:p>
    <w:p w14:paraId="0E4B3EE5" w14:textId="77777777" w:rsidR="003C668B" w:rsidRPr="003C668B" w:rsidRDefault="003C668B" w:rsidP="003C668B">
      <w:pPr>
        <w:ind w:right="-376"/>
        <w:jc w:val="both"/>
        <w:rPr>
          <w:rFonts w:ascii="Times New Roman" w:hAnsi="Times New Roman" w:cs="Times New Roman"/>
        </w:rPr>
      </w:pPr>
      <w:r w:rsidRPr="003C668B">
        <w:rPr>
          <w:rFonts w:ascii="Times New Roman" w:hAnsi="Times New Roman" w:cs="Times New Roman"/>
        </w:rPr>
        <w:t>1.2.  O objeto caracteriza-se como bem comum, conforme justificativa constante do Estudo Técnico Preliminar.</w:t>
      </w:r>
    </w:p>
    <w:p w14:paraId="77B89ED2" w14:textId="77777777" w:rsidR="003C668B" w:rsidRPr="003C668B" w:rsidRDefault="003C668B" w:rsidP="003C668B">
      <w:pPr>
        <w:ind w:right="-376"/>
        <w:jc w:val="both"/>
        <w:rPr>
          <w:rFonts w:ascii="Times New Roman" w:hAnsi="Times New Roman" w:cs="Times New Roman"/>
        </w:rPr>
      </w:pPr>
      <w:r w:rsidRPr="003C668B">
        <w:rPr>
          <w:rFonts w:ascii="Times New Roman" w:hAnsi="Times New Roman" w:cs="Times New Roman"/>
        </w:rPr>
        <w:t>1.3. O objeto não se enquadra como bem de luxo, nos termos do Decreto nº 10.818/2021.</w:t>
      </w:r>
    </w:p>
    <w:p w14:paraId="00B1D102"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1.4. Os materiais a serem adquiridos compreendem:</w:t>
      </w:r>
    </w:p>
    <w:tbl>
      <w:tblPr>
        <w:tblpPr w:leftFromText="141" w:rightFromText="141" w:vertAnchor="text" w:tblpX="2" w:tblpY="2"/>
        <w:tblW w:w="9254"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696"/>
        <w:gridCol w:w="3619"/>
        <w:gridCol w:w="1392"/>
        <w:gridCol w:w="1732"/>
        <w:gridCol w:w="1815"/>
      </w:tblGrid>
      <w:tr w:rsidR="003C668B" w:rsidRPr="003C668B" w14:paraId="7C4C17D0" w14:textId="77777777">
        <w:tc>
          <w:tcPr>
            <w:tcW w:w="696" w:type="dxa"/>
            <w:tcBorders>
              <w:top w:val="single" w:sz="4" w:space="0" w:color="000000"/>
              <w:bottom w:val="single" w:sz="4" w:space="0" w:color="000000"/>
              <w:right w:val="single" w:sz="4" w:space="0" w:color="000000"/>
            </w:tcBorders>
            <w:tcMar>
              <w:left w:w="108" w:type="dxa"/>
              <w:right w:w="108" w:type="dxa"/>
            </w:tcMar>
          </w:tcPr>
          <w:p w14:paraId="40ABF0CD" w14:textId="77777777" w:rsidR="003C668B" w:rsidRPr="003C668B" w:rsidRDefault="003C668B" w:rsidP="003C668B">
            <w:pPr>
              <w:rPr>
                <w:rFonts w:ascii="Times New Roman" w:hAnsi="Times New Roman" w:cs="Times New Roman"/>
              </w:rPr>
            </w:pPr>
            <w:bookmarkStart w:id="0" w:name="_Hlk220339270"/>
            <w:r w:rsidRPr="003C668B">
              <w:rPr>
                <w:rFonts w:ascii="Times New Roman" w:hAnsi="Times New Roman" w:cs="Times New Roman"/>
              </w:rPr>
              <w:t>ITEM</w:t>
            </w:r>
          </w:p>
        </w:tc>
        <w:tc>
          <w:tcPr>
            <w:tcW w:w="361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F41AF5C"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DESCRIÇÃO</w:t>
            </w:r>
          </w:p>
          <w:p w14:paraId="35F114EB"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ESPECIFICAÇÃO</w:t>
            </w:r>
          </w:p>
        </w:tc>
        <w:tc>
          <w:tcPr>
            <w:tcW w:w="13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CBC538F"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APLIC</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FDE8D22"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UNIDADE DE</w:t>
            </w:r>
          </w:p>
          <w:p w14:paraId="77D938AD"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MEDIDA</w:t>
            </w:r>
          </w:p>
        </w:tc>
        <w:tc>
          <w:tcPr>
            <w:tcW w:w="1815" w:type="dxa"/>
            <w:tcBorders>
              <w:top w:val="single" w:sz="4" w:space="0" w:color="000000"/>
              <w:left w:val="single" w:sz="4" w:space="0" w:color="000000"/>
              <w:bottom w:val="single" w:sz="4" w:space="0" w:color="000000"/>
            </w:tcBorders>
            <w:tcMar>
              <w:left w:w="108" w:type="dxa"/>
              <w:right w:w="108" w:type="dxa"/>
            </w:tcMar>
          </w:tcPr>
          <w:p w14:paraId="63603131"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QUANTIDADE</w:t>
            </w:r>
          </w:p>
        </w:tc>
      </w:tr>
      <w:tr w:rsidR="003C668B" w:rsidRPr="003C668B" w14:paraId="3AB28F67" w14:textId="77777777">
        <w:tc>
          <w:tcPr>
            <w:tcW w:w="696" w:type="dxa"/>
            <w:tcBorders>
              <w:top w:val="single" w:sz="4" w:space="0" w:color="000000"/>
              <w:bottom w:val="single" w:sz="4" w:space="0" w:color="000000"/>
              <w:right w:val="single" w:sz="4" w:space="0" w:color="000000"/>
            </w:tcBorders>
            <w:tcMar>
              <w:left w:w="108" w:type="dxa"/>
              <w:right w:w="108" w:type="dxa"/>
            </w:tcMar>
          </w:tcPr>
          <w:p w14:paraId="0E3A7FCD" w14:textId="77777777" w:rsidR="003C668B" w:rsidRPr="003C668B" w:rsidRDefault="003C668B" w:rsidP="003C668B">
            <w:pPr>
              <w:rPr>
                <w:rFonts w:ascii="Times New Roman" w:hAnsi="Times New Roman" w:cs="Times New Roman"/>
              </w:rPr>
            </w:pPr>
          </w:p>
          <w:p w14:paraId="75458B0D" w14:textId="77777777" w:rsidR="003C668B" w:rsidRPr="003C668B" w:rsidRDefault="003C668B" w:rsidP="003C668B">
            <w:pPr>
              <w:rPr>
                <w:rFonts w:ascii="Times New Roman" w:hAnsi="Times New Roman" w:cs="Times New Roman"/>
              </w:rPr>
            </w:pPr>
          </w:p>
          <w:p w14:paraId="07F458AE" w14:textId="77777777" w:rsidR="003C668B" w:rsidRPr="003C668B" w:rsidRDefault="003C668B" w:rsidP="003C668B">
            <w:pPr>
              <w:rPr>
                <w:rFonts w:ascii="Times New Roman" w:hAnsi="Times New Roman" w:cs="Times New Roman"/>
              </w:rPr>
            </w:pPr>
          </w:p>
          <w:p w14:paraId="43FAAE81" w14:textId="77777777" w:rsidR="003C668B" w:rsidRPr="003C668B" w:rsidRDefault="003C668B" w:rsidP="003C668B">
            <w:pPr>
              <w:rPr>
                <w:rFonts w:ascii="Times New Roman" w:hAnsi="Times New Roman" w:cs="Times New Roman"/>
              </w:rPr>
            </w:pPr>
          </w:p>
          <w:p w14:paraId="0305538C" w14:textId="77777777" w:rsidR="003C668B" w:rsidRPr="003C668B" w:rsidRDefault="003C668B" w:rsidP="003C668B">
            <w:pPr>
              <w:rPr>
                <w:rFonts w:ascii="Times New Roman" w:hAnsi="Times New Roman" w:cs="Times New Roman"/>
              </w:rPr>
            </w:pPr>
          </w:p>
          <w:p w14:paraId="7E62DCAD" w14:textId="77777777" w:rsidR="003C668B" w:rsidRPr="003C668B" w:rsidRDefault="003C668B" w:rsidP="003C668B">
            <w:pPr>
              <w:rPr>
                <w:rFonts w:ascii="Times New Roman" w:hAnsi="Times New Roman" w:cs="Times New Roman"/>
              </w:rPr>
            </w:pPr>
          </w:p>
          <w:p w14:paraId="31B8C93E"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01</w:t>
            </w:r>
          </w:p>
        </w:tc>
        <w:tc>
          <w:tcPr>
            <w:tcW w:w="361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90D2BC3"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EXLUSIVO PARA ME/EPP</w:t>
            </w:r>
          </w:p>
          <w:p w14:paraId="2954A252"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 xml:space="preserve">Apagador para quadro branco corpo em plástico de alta resistência, superfície interna em espuma e base em feltro, apagador com design arrojado, prático e moderno, feltro tratado, plástico ABS </w:t>
            </w:r>
            <w:proofErr w:type="gramStart"/>
            <w:r w:rsidRPr="003C668B">
              <w:rPr>
                <w:rFonts w:ascii="Times New Roman" w:hAnsi="Times New Roman" w:cs="Times New Roman"/>
              </w:rPr>
              <w:t>anatômico,  suporte</w:t>
            </w:r>
            <w:proofErr w:type="gramEnd"/>
            <w:r w:rsidRPr="003C668B">
              <w:rPr>
                <w:rFonts w:ascii="Times New Roman" w:hAnsi="Times New Roman" w:cs="Times New Roman"/>
              </w:rPr>
              <w:t xml:space="preserve"> para duas canetas de quadro branco, dimensões aproximadas do produto embalado 15 x 7 cm. Marcas de referência: </w:t>
            </w:r>
            <w:proofErr w:type="spellStart"/>
            <w:r w:rsidRPr="003C668B">
              <w:rPr>
                <w:rFonts w:ascii="Times New Roman" w:hAnsi="Times New Roman" w:cs="Times New Roman"/>
              </w:rPr>
              <w:t>Pilot</w:t>
            </w:r>
            <w:proofErr w:type="spellEnd"/>
            <w:r w:rsidRPr="003C668B">
              <w:rPr>
                <w:rFonts w:ascii="Times New Roman" w:hAnsi="Times New Roman" w:cs="Times New Roman"/>
              </w:rPr>
              <w:t xml:space="preserve">, Tilibra, </w:t>
            </w:r>
            <w:proofErr w:type="spellStart"/>
            <w:r w:rsidRPr="003C668B">
              <w:rPr>
                <w:rFonts w:ascii="Times New Roman" w:hAnsi="Times New Roman" w:cs="Times New Roman"/>
              </w:rPr>
              <w:t>Carbrink</w:t>
            </w:r>
            <w:proofErr w:type="spellEnd"/>
            <w:r w:rsidRPr="003C668B">
              <w:rPr>
                <w:rFonts w:ascii="Times New Roman" w:hAnsi="Times New Roman" w:cs="Times New Roman"/>
              </w:rPr>
              <w:t xml:space="preserve">. Equivalente, ou similar e/ou de melhor qualidade. </w:t>
            </w:r>
            <w:r w:rsidRPr="003C668B">
              <w:rPr>
                <w:rFonts w:ascii="Times New Roman" w:hAnsi="Times New Roman" w:cs="Times New Roman"/>
              </w:rPr>
              <w:lastRenderedPageBreak/>
              <w:t>Prazo de validade mínima 01 (um) ano da data de entrega</w:t>
            </w:r>
          </w:p>
        </w:tc>
        <w:tc>
          <w:tcPr>
            <w:tcW w:w="13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E3EC65" w14:textId="77777777" w:rsidR="003C668B" w:rsidRPr="003C668B" w:rsidRDefault="003C668B" w:rsidP="003C668B">
            <w:pPr>
              <w:rPr>
                <w:rFonts w:ascii="Times New Roman" w:hAnsi="Times New Roman" w:cs="Times New Roman"/>
              </w:rPr>
            </w:pPr>
          </w:p>
          <w:p w14:paraId="78F0B8E7" w14:textId="77777777" w:rsidR="003C668B" w:rsidRPr="003C668B" w:rsidRDefault="003C668B" w:rsidP="003C668B">
            <w:pPr>
              <w:rPr>
                <w:rFonts w:ascii="Times New Roman" w:hAnsi="Times New Roman" w:cs="Times New Roman"/>
              </w:rPr>
            </w:pPr>
          </w:p>
          <w:p w14:paraId="45F26A6E" w14:textId="77777777" w:rsidR="003C668B" w:rsidRPr="003C668B" w:rsidRDefault="003C668B" w:rsidP="003C668B">
            <w:pPr>
              <w:rPr>
                <w:rFonts w:ascii="Times New Roman" w:hAnsi="Times New Roman" w:cs="Times New Roman"/>
              </w:rPr>
            </w:pPr>
          </w:p>
          <w:p w14:paraId="7FE9E92E" w14:textId="77777777" w:rsidR="003C668B" w:rsidRPr="003C668B" w:rsidRDefault="003C668B" w:rsidP="003C668B">
            <w:pPr>
              <w:rPr>
                <w:rFonts w:ascii="Times New Roman" w:hAnsi="Times New Roman" w:cs="Times New Roman"/>
              </w:rPr>
            </w:pPr>
          </w:p>
          <w:p w14:paraId="4BA38724" w14:textId="77777777" w:rsidR="003C668B" w:rsidRPr="003C668B" w:rsidRDefault="003C668B" w:rsidP="003C668B">
            <w:pPr>
              <w:rPr>
                <w:rFonts w:ascii="Times New Roman" w:hAnsi="Times New Roman" w:cs="Times New Roman"/>
              </w:rPr>
            </w:pPr>
          </w:p>
          <w:p w14:paraId="5B844C9D" w14:textId="77777777" w:rsidR="003C668B" w:rsidRPr="003C668B" w:rsidRDefault="003C668B" w:rsidP="003C668B">
            <w:pPr>
              <w:rPr>
                <w:rFonts w:ascii="Times New Roman" w:hAnsi="Times New Roman" w:cs="Times New Roman"/>
              </w:rPr>
            </w:pPr>
          </w:p>
          <w:p w14:paraId="7D7C0962"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324536-5</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A80F974" w14:textId="77777777" w:rsidR="003C668B" w:rsidRPr="003C668B" w:rsidRDefault="003C668B" w:rsidP="003C668B">
            <w:pPr>
              <w:rPr>
                <w:rFonts w:ascii="Times New Roman" w:hAnsi="Times New Roman" w:cs="Times New Roman"/>
              </w:rPr>
            </w:pPr>
          </w:p>
          <w:p w14:paraId="60EE8C90" w14:textId="77777777" w:rsidR="003C668B" w:rsidRPr="003C668B" w:rsidRDefault="003C668B" w:rsidP="003C668B">
            <w:pPr>
              <w:rPr>
                <w:rFonts w:ascii="Times New Roman" w:hAnsi="Times New Roman" w:cs="Times New Roman"/>
              </w:rPr>
            </w:pPr>
          </w:p>
          <w:p w14:paraId="3A935DB5" w14:textId="77777777" w:rsidR="003C668B" w:rsidRPr="003C668B" w:rsidRDefault="003C668B" w:rsidP="003C668B">
            <w:pPr>
              <w:rPr>
                <w:rFonts w:ascii="Times New Roman" w:hAnsi="Times New Roman" w:cs="Times New Roman"/>
              </w:rPr>
            </w:pPr>
          </w:p>
          <w:p w14:paraId="427ECA16" w14:textId="77777777" w:rsidR="003C668B" w:rsidRPr="003C668B" w:rsidRDefault="003C668B" w:rsidP="003C668B">
            <w:pPr>
              <w:rPr>
                <w:rFonts w:ascii="Times New Roman" w:hAnsi="Times New Roman" w:cs="Times New Roman"/>
              </w:rPr>
            </w:pPr>
          </w:p>
          <w:p w14:paraId="151B85F6" w14:textId="77777777" w:rsidR="003C668B" w:rsidRPr="003C668B" w:rsidRDefault="003C668B" w:rsidP="003C668B">
            <w:pPr>
              <w:rPr>
                <w:rFonts w:ascii="Times New Roman" w:hAnsi="Times New Roman" w:cs="Times New Roman"/>
              </w:rPr>
            </w:pPr>
          </w:p>
          <w:p w14:paraId="5BEEEB48" w14:textId="77777777" w:rsidR="003C668B" w:rsidRPr="003C668B" w:rsidRDefault="003C668B" w:rsidP="003C668B">
            <w:pPr>
              <w:rPr>
                <w:rFonts w:ascii="Times New Roman" w:hAnsi="Times New Roman" w:cs="Times New Roman"/>
              </w:rPr>
            </w:pPr>
          </w:p>
          <w:p w14:paraId="77C51CD8"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5FF075B1" w14:textId="77777777" w:rsidR="003C668B" w:rsidRPr="003C668B" w:rsidRDefault="003C668B" w:rsidP="003C668B">
            <w:pPr>
              <w:rPr>
                <w:rFonts w:ascii="Times New Roman" w:hAnsi="Times New Roman" w:cs="Times New Roman"/>
              </w:rPr>
            </w:pPr>
          </w:p>
          <w:p w14:paraId="26DFDE72" w14:textId="77777777" w:rsidR="003C668B" w:rsidRPr="003C668B" w:rsidRDefault="003C668B" w:rsidP="003C668B">
            <w:pPr>
              <w:rPr>
                <w:rFonts w:ascii="Times New Roman" w:hAnsi="Times New Roman" w:cs="Times New Roman"/>
              </w:rPr>
            </w:pPr>
          </w:p>
          <w:p w14:paraId="75657867" w14:textId="77777777" w:rsidR="003C668B" w:rsidRPr="003C668B" w:rsidRDefault="003C668B" w:rsidP="003C668B">
            <w:pPr>
              <w:rPr>
                <w:rFonts w:ascii="Times New Roman" w:hAnsi="Times New Roman" w:cs="Times New Roman"/>
              </w:rPr>
            </w:pPr>
          </w:p>
          <w:p w14:paraId="50C90213" w14:textId="77777777" w:rsidR="003C668B" w:rsidRPr="003C668B" w:rsidRDefault="003C668B" w:rsidP="003C668B">
            <w:pPr>
              <w:rPr>
                <w:rFonts w:ascii="Times New Roman" w:hAnsi="Times New Roman" w:cs="Times New Roman"/>
              </w:rPr>
            </w:pPr>
          </w:p>
          <w:p w14:paraId="4A617A14" w14:textId="77777777" w:rsidR="003C668B" w:rsidRPr="003C668B" w:rsidRDefault="003C668B" w:rsidP="003C668B">
            <w:pPr>
              <w:rPr>
                <w:rFonts w:ascii="Times New Roman" w:hAnsi="Times New Roman" w:cs="Times New Roman"/>
              </w:rPr>
            </w:pPr>
          </w:p>
          <w:p w14:paraId="18952FAE" w14:textId="77777777" w:rsidR="003C668B" w:rsidRPr="003C668B" w:rsidRDefault="003C668B" w:rsidP="003C668B">
            <w:pPr>
              <w:rPr>
                <w:rFonts w:ascii="Times New Roman" w:hAnsi="Times New Roman" w:cs="Times New Roman"/>
              </w:rPr>
            </w:pPr>
          </w:p>
          <w:p w14:paraId="2E52D498"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300</w:t>
            </w:r>
          </w:p>
        </w:tc>
      </w:tr>
      <w:bookmarkEnd w:id="0"/>
      <w:tr w:rsidR="003C668B" w:rsidRPr="003C668B" w14:paraId="2008D777" w14:textId="77777777">
        <w:tc>
          <w:tcPr>
            <w:tcW w:w="696" w:type="dxa"/>
            <w:tcBorders>
              <w:top w:val="single" w:sz="4" w:space="0" w:color="000000"/>
              <w:bottom w:val="single" w:sz="4" w:space="0" w:color="000000"/>
              <w:right w:val="single" w:sz="4" w:space="0" w:color="000000"/>
            </w:tcBorders>
            <w:tcMar>
              <w:left w:w="108" w:type="dxa"/>
              <w:right w:w="108" w:type="dxa"/>
            </w:tcMar>
          </w:tcPr>
          <w:p w14:paraId="6F34477E" w14:textId="77777777" w:rsidR="003C668B" w:rsidRPr="003C668B" w:rsidRDefault="003C668B" w:rsidP="003C668B">
            <w:pPr>
              <w:rPr>
                <w:rFonts w:ascii="Times New Roman" w:hAnsi="Times New Roman" w:cs="Times New Roman"/>
              </w:rPr>
            </w:pPr>
          </w:p>
          <w:p w14:paraId="43A7AE40" w14:textId="77777777" w:rsidR="003C668B" w:rsidRPr="003C668B" w:rsidRDefault="003C668B" w:rsidP="003C668B">
            <w:pPr>
              <w:rPr>
                <w:rFonts w:ascii="Times New Roman" w:hAnsi="Times New Roman" w:cs="Times New Roman"/>
              </w:rPr>
            </w:pPr>
          </w:p>
          <w:p w14:paraId="12D4A24C" w14:textId="77777777" w:rsidR="003C668B" w:rsidRPr="003C668B" w:rsidRDefault="003C668B" w:rsidP="003C668B">
            <w:pPr>
              <w:rPr>
                <w:rFonts w:ascii="Times New Roman" w:hAnsi="Times New Roman" w:cs="Times New Roman"/>
              </w:rPr>
            </w:pPr>
          </w:p>
          <w:p w14:paraId="0262F74F" w14:textId="77777777" w:rsidR="003C668B" w:rsidRPr="003C668B" w:rsidRDefault="003C668B" w:rsidP="003C668B">
            <w:pPr>
              <w:rPr>
                <w:rFonts w:ascii="Times New Roman" w:hAnsi="Times New Roman" w:cs="Times New Roman"/>
              </w:rPr>
            </w:pPr>
          </w:p>
          <w:p w14:paraId="29B63FEF" w14:textId="77777777" w:rsidR="003C668B" w:rsidRPr="003C668B" w:rsidRDefault="003C668B" w:rsidP="003C668B">
            <w:pPr>
              <w:rPr>
                <w:rFonts w:ascii="Times New Roman" w:hAnsi="Times New Roman" w:cs="Times New Roman"/>
              </w:rPr>
            </w:pPr>
          </w:p>
          <w:p w14:paraId="4FBF6A13"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02</w:t>
            </w:r>
          </w:p>
        </w:tc>
        <w:tc>
          <w:tcPr>
            <w:tcW w:w="361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D5538DC"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 xml:space="preserve">EXCLUSIVO PARA ME/EPP </w:t>
            </w:r>
          </w:p>
          <w:p w14:paraId="49734795"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 xml:space="preserve">Cesto de lixo em fibra, formato cônico, com bordas metálicas, preto, tamanho médio, aproximadamente 35 cm de altura x 34 cm de diâmetro. Marcas de referência: </w:t>
            </w:r>
            <w:proofErr w:type="spellStart"/>
            <w:r w:rsidRPr="003C668B">
              <w:rPr>
                <w:rFonts w:ascii="Times New Roman" w:hAnsi="Times New Roman" w:cs="Times New Roman"/>
              </w:rPr>
              <w:t>Metallyne</w:t>
            </w:r>
            <w:proofErr w:type="spellEnd"/>
            <w:r w:rsidRPr="003C668B">
              <w:rPr>
                <w:rFonts w:ascii="Times New Roman" w:hAnsi="Times New Roman" w:cs="Times New Roman"/>
              </w:rPr>
              <w:t xml:space="preserve">, Sanremo, </w:t>
            </w:r>
            <w:proofErr w:type="spellStart"/>
            <w:r w:rsidRPr="003C668B">
              <w:rPr>
                <w:rFonts w:ascii="Times New Roman" w:hAnsi="Times New Roman" w:cs="Times New Roman"/>
              </w:rPr>
              <w:t>Arqplast</w:t>
            </w:r>
            <w:proofErr w:type="spellEnd"/>
            <w:r w:rsidRPr="003C668B">
              <w:rPr>
                <w:rFonts w:ascii="Times New Roman" w:hAnsi="Times New Roman" w:cs="Times New Roman"/>
              </w:rPr>
              <w:t>, equivalente, ou similar e ou de melhor qualidade. Prazo de Validade mínima 01 (um) ano da data de entrega.</w:t>
            </w:r>
          </w:p>
        </w:tc>
        <w:tc>
          <w:tcPr>
            <w:tcW w:w="13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68DFC1D" w14:textId="77777777" w:rsidR="003C668B" w:rsidRPr="003C668B" w:rsidRDefault="003C668B" w:rsidP="003C668B">
            <w:pPr>
              <w:rPr>
                <w:rFonts w:ascii="Times New Roman" w:hAnsi="Times New Roman" w:cs="Times New Roman"/>
              </w:rPr>
            </w:pPr>
          </w:p>
          <w:p w14:paraId="700DCE55" w14:textId="77777777" w:rsidR="003C668B" w:rsidRPr="003C668B" w:rsidRDefault="003C668B" w:rsidP="003C668B">
            <w:pPr>
              <w:rPr>
                <w:rFonts w:ascii="Times New Roman" w:hAnsi="Times New Roman" w:cs="Times New Roman"/>
              </w:rPr>
            </w:pPr>
          </w:p>
          <w:p w14:paraId="5CB17F00" w14:textId="77777777" w:rsidR="003C668B" w:rsidRPr="003C668B" w:rsidRDefault="003C668B" w:rsidP="003C668B">
            <w:pPr>
              <w:rPr>
                <w:rFonts w:ascii="Times New Roman" w:hAnsi="Times New Roman" w:cs="Times New Roman"/>
              </w:rPr>
            </w:pPr>
          </w:p>
          <w:p w14:paraId="2062010A" w14:textId="77777777" w:rsidR="003C668B" w:rsidRPr="003C668B" w:rsidRDefault="003C668B" w:rsidP="003C668B">
            <w:pPr>
              <w:rPr>
                <w:rFonts w:ascii="Times New Roman" w:hAnsi="Times New Roman" w:cs="Times New Roman"/>
              </w:rPr>
            </w:pPr>
          </w:p>
          <w:p w14:paraId="6ACE8E88"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00027000</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13EF690" w14:textId="77777777" w:rsidR="003C668B" w:rsidRPr="003C668B" w:rsidRDefault="003C668B" w:rsidP="003C668B">
            <w:pPr>
              <w:rPr>
                <w:rFonts w:ascii="Times New Roman" w:hAnsi="Times New Roman" w:cs="Times New Roman"/>
              </w:rPr>
            </w:pPr>
          </w:p>
          <w:p w14:paraId="3785AF3B" w14:textId="77777777" w:rsidR="003C668B" w:rsidRPr="003C668B" w:rsidRDefault="003C668B" w:rsidP="003C668B">
            <w:pPr>
              <w:rPr>
                <w:rFonts w:ascii="Times New Roman" w:hAnsi="Times New Roman" w:cs="Times New Roman"/>
              </w:rPr>
            </w:pPr>
          </w:p>
          <w:p w14:paraId="1EA037C3" w14:textId="77777777" w:rsidR="003C668B" w:rsidRPr="003C668B" w:rsidRDefault="003C668B" w:rsidP="003C668B">
            <w:pPr>
              <w:rPr>
                <w:rFonts w:ascii="Times New Roman" w:hAnsi="Times New Roman" w:cs="Times New Roman"/>
              </w:rPr>
            </w:pPr>
          </w:p>
          <w:p w14:paraId="0387F8B4" w14:textId="77777777" w:rsidR="003C668B" w:rsidRPr="003C668B" w:rsidRDefault="003C668B" w:rsidP="003C668B">
            <w:pPr>
              <w:rPr>
                <w:rFonts w:ascii="Times New Roman" w:hAnsi="Times New Roman" w:cs="Times New Roman"/>
              </w:rPr>
            </w:pPr>
          </w:p>
          <w:p w14:paraId="125CC219"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0B8EEF1C" w14:textId="77777777" w:rsidR="003C668B" w:rsidRPr="003C668B" w:rsidRDefault="003C668B" w:rsidP="003C668B">
            <w:pPr>
              <w:rPr>
                <w:rFonts w:ascii="Times New Roman" w:hAnsi="Times New Roman" w:cs="Times New Roman"/>
              </w:rPr>
            </w:pPr>
          </w:p>
          <w:p w14:paraId="0577B73A" w14:textId="77777777" w:rsidR="003C668B" w:rsidRPr="003C668B" w:rsidRDefault="003C668B" w:rsidP="003C668B">
            <w:pPr>
              <w:rPr>
                <w:rFonts w:ascii="Times New Roman" w:hAnsi="Times New Roman" w:cs="Times New Roman"/>
              </w:rPr>
            </w:pPr>
          </w:p>
          <w:p w14:paraId="5CBCEC6F" w14:textId="77777777" w:rsidR="003C668B" w:rsidRPr="003C668B" w:rsidRDefault="003C668B" w:rsidP="003C668B">
            <w:pPr>
              <w:rPr>
                <w:rFonts w:ascii="Times New Roman" w:hAnsi="Times New Roman" w:cs="Times New Roman"/>
              </w:rPr>
            </w:pPr>
          </w:p>
          <w:p w14:paraId="56C73949" w14:textId="77777777" w:rsidR="003C668B" w:rsidRPr="003C668B" w:rsidRDefault="003C668B" w:rsidP="003C668B">
            <w:pPr>
              <w:rPr>
                <w:rFonts w:ascii="Times New Roman" w:hAnsi="Times New Roman" w:cs="Times New Roman"/>
              </w:rPr>
            </w:pPr>
          </w:p>
          <w:p w14:paraId="33ED92FE"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500</w:t>
            </w:r>
          </w:p>
          <w:p w14:paraId="3C2CDC36" w14:textId="77777777" w:rsidR="003C668B" w:rsidRPr="003C668B" w:rsidRDefault="003C668B" w:rsidP="003C668B">
            <w:pPr>
              <w:rPr>
                <w:rFonts w:ascii="Times New Roman" w:hAnsi="Times New Roman" w:cs="Times New Roman"/>
              </w:rPr>
            </w:pPr>
          </w:p>
        </w:tc>
      </w:tr>
      <w:tr w:rsidR="003C668B" w:rsidRPr="003C668B" w14:paraId="623937AF" w14:textId="77777777">
        <w:tc>
          <w:tcPr>
            <w:tcW w:w="696" w:type="dxa"/>
            <w:tcBorders>
              <w:top w:val="single" w:sz="4" w:space="0" w:color="000000"/>
              <w:bottom w:val="single" w:sz="4" w:space="0" w:color="000000"/>
              <w:right w:val="single" w:sz="4" w:space="0" w:color="000000"/>
            </w:tcBorders>
            <w:tcMar>
              <w:left w:w="108" w:type="dxa"/>
              <w:right w:w="108" w:type="dxa"/>
            </w:tcMar>
          </w:tcPr>
          <w:p w14:paraId="0E3EAD86" w14:textId="77777777" w:rsidR="003C668B" w:rsidRPr="003C668B" w:rsidRDefault="003C668B" w:rsidP="003C668B">
            <w:pPr>
              <w:rPr>
                <w:rFonts w:ascii="Times New Roman" w:hAnsi="Times New Roman" w:cs="Times New Roman"/>
              </w:rPr>
            </w:pPr>
          </w:p>
          <w:p w14:paraId="1593B77D" w14:textId="77777777" w:rsidR="003C668B" w:rsidRPr="003C668B" w:rsidRDefault="003C668B" w:rsidP="003C668B">
            <w:pPr>
              <w:rPr>
                <w:rFonts w:ascii="Times New Roman" w:hAnsi="Times New Roman" w:cs="Times New Roman"/>
              </w:rPr>
            </w:pPr>
          </w:p>
          <w:p w14:paraId="5EF2E6AA" w14:textId="77777777" w:rsidR="003C668B" w:rsidRPr="003C668B" w:rsidRDefault="003C668B" w:rsidP="003C668B">
            <w:pPr>
              <w:rPr>
                <w:rFonts w:ascii="Times New Roman" w:hAnsi="Times New Roman" w:cs="Times New Roman"/>
              </w:rPr>
            </w:pPr>
          </w:p>
          <w:p w14:paraId="2787E0B3" w14:textId="77777777" w:rsidR="003C668B" w:rsidRPr="003C668B" w:rsidRDefault="003C668B" w:rsidP="003C668B">
            <w:pPr>
              <w:rPr>
                <w:rFonts w:ascii="Times New Roman" w:hAnsi="Times New Roman" w:cs="Times New Roman"/>
              </w:rPr>
            </w:pPr>
          </w:p>
          <w:p w14:paraId="22C3FDCF" w14:textId="77777777" w:rsidR="003C668B" w:rsidRPr="003C668B" w:rsidRDefault="003C668B" w:rsidP="003C668B">
            <w:pPr>
              <w:rPr>
                <w:rFonts w:ascii="Times New Roman" w:hAnsi="Times New Roman" w:cs="Times New Roman"/>
              </w:rPr>
            </w:pPr>
          </w:p>
          <w:p w14:paraId="53ECAC50"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03</w:t>
            </w:r>
          </w:p>
        </w:tc>
        <w:tc>
          <w:tcPr>
            <w:tcW w:w="361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9B6928"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EXCLUSIVO PARA ME/EPP</w:t>
            </w:r>
          </w:p>
          <w:p w14:paraId="1A1DF32F"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 xml:space="preserve">Coador para café de tecido algodão, formato cônico, com cabo de madeira, cor branca, capacidade aproximado 2 litros, Marcas de </w:t>
            </w:r>
            <w:proofErr w:type="gramStart"/>
            <w:r w:rsidRPr="003C668B">
              <w:rPr>
                <w:rFonts w:ascii="Times New Roman" w:hAnsi="Times New Roman" w:cs="Times New Roman"/>
              </w:rPr>
              <w:t>referência :</w:t>
            </w:r>
            <w:proofErr w:type="gramEnd"/>
            <w:r w:rsidRPr="003C668B">
              <w:rPr>
                <w:rFonts w:ascii="Times New Roman" w:hAnsi="Times New Roman" w:cs="Times New Roman"/>
              </w:rPr>
              <w:t xml:space="preserve"> Pantanal, Esperança, Original utilidades. Equivalente, ou similar e/ou de melhor qualidade. Prazo de validade mínima 01 (um) ano </w:t>
            </w:r>
            <w:proofErr w:type="gramStart"/>
            <w:r w:rsidRPr="003C668B">
              <w:rPr>
                <w:rFonts w:ascii="Times New Roman" w:hAnsi="Times New Roman" w:cs="Times New Roman"/>
              </w:rPr>
              <w:t>da  data</w:t>
            </w:r>
            <w:proofErr w:type="gramEnd"/>
            <w:r w:rsidRPr="003C668B">
              <w:rPr>
                <w:rFonts w:ascii="Times New Roman" w:hAnsi="Times New Roman" w:cs="Times New Roman"/>
              </w:rPr>
              <w:t xml:space="preserve"> de entrega.</w:t>
            </w:r>
          </w:p>
        </w:tc>
        <w:tc>
          <w:tcPr>
            <w:tcW w:w="13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A0708C7" w14:textId="77777777" w:rsidR="003C668B" w:rsidRPr="003C668B" w:rsidRDefault="003C668B" w:rsidP="003C668B">
            <w:pPr>
              <w:rPr>
                <w:rFonts w:ascii="Times New Roman" w:hAnsi="Times New Roman" w:cs="Times New Roman"/>
              </w:rPr>
            </w:pPr>
          </w:p>
          <w:p w14:paraId="4AE85E55" w14:textId="77777777" w:rsidR="003C668B" w:rsidRPr="003C668B" w:rsidRDefault="003C668B" w:rsidP="003C668B">
            <w:pPr>
              <w:rPr>
                <w:rFonts w:ascii="Times New Roman" w:hAnsi="Times New Roman" w:cs="Times New Roman"/>
              </w:rPr>
            </w:pPr>
          </w:p>
          <w:p w14:paraId="4F77CAE1" w14:textId="77777777" w:rsidR="003C668B" w:rsidRPr="003C668B" w:rsidRDefault="003C668B" w:rsidP="003C668B">
            <w:pPr>
              <w:rPr>
                <w:rFonts w:ascii="Times New Roman" w:hAnsi="Times New Roman" w:cs="Times New Roman"/>
              </w:rPr>
            </w:pPr>
          </w:p>
          <w:p w14:paraId="41AEF813" w14:textId="77777777" w:rsidR="003C668B" w:rsidRPr="003C668B" w:rsidRDefault="003C668B" w:rsidP="003C668B">
            <w:pPr>
              <w:rPr>
                <w:rFonts w:ascii="Times New Roman" w:hAnsi="Times New Roman" w:cs="Times New Roman"/>
              </w:rPr>
            </w:pPr>
          </w:p>
          <w:p w14:paraId="706FBEAD" w14:textId="77777777" w:rsidR="003C668B" w:rsidRPr="003C668B" w:rsidRDefault="003C668B" w:rsidP="003C668B">
            <w:pPr>
              <w:rPr>
                <w:rFonts w:ascii="Times New Roman" w:hAnsi="Times New Roman" w:cs="Times New Roman"/>
              </w:rPr>
            </w:pPr>
          </w:p>
          <w:p w14:paraId="09F2E185"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00073262</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269BB" w14:textId="77777777" w:rsidR="003C668B" w:rsidRPr="003C668B" w:rsidRDefault="003C668B" w:rsidP="003C668B">
            <w:pPr>
              <w:rPr>
                <w:rFonts w:ascii="Times New Roman" w:hAnsi="Times New Roman" w:cs="Times New Roman"/>
              </w:rPr>
            </w:pPr>
          </w:p>
          <w:p w14:paraId="4E5F1089" w14:textId="77777777" w:rsidR="003C668B" w:rsidRPr="003C668B" w:rsidRDefault="003C668B" w:rsidP="003C668B">
            <w:pPr>
              <w:rPr>
                <w:rFonts w:ascii="Times New Roman" w:hAnsi="Times New Roman" w:cs="Times New Roman"/>
              </w:rPr>
            </w:pPr>
          </w:p>
          <w:p w14:paraId="300A3D4C" w14:textId="77777777" w:rsidR="003C668B" w:rsidRPr="003C668B" w:rsidRDefault="003C668B" w:rsidP="003C668B">
            <w:pPr>
              <w:rPr>
                <w:rFonts w:ascii="Times New Roman" w:hAnsi="Times New Roman" w:cs="Times New Roman"/>
              </w:rPr>
            </w:pPr>
          </w:p>
          <w:p w14:paraId="13DE6B2C" w14:textId="77777777" w:rsidR="003C668B" w:rsidRPr="003C668B" w:rsidRDefault="003C668B" w:rsidP="003C668B">
            <w:pPr>
              <w:rPr>
                <w:rFonts w:ascii="Times New Roman" w:hAnsi="Times New Roman" w:cs="Times New Roman"/>
              </w:rPr>
            </w:pPr>
          </w:p>
          <w:p w14:paraId="56C2334D" w14:textId="77777777" w:rsidR="003C668B" w:rsidRPr="003C668B" w:rsidRDefault="003C668B" w:rsidP="003C668B">
            <w:pPr>
              <w:rPr>
                <w:rFonts w:ascii="Times New Roman" w:hAnsi="Times New Roman" w:cs="Times New Roman"/>
              </w:rPr>
            </w:pPr>
          </w:p>
          <w:p w14:paraId="7336F347"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1E1FD09F" w14:textId="77777777" w:rsidR="003C668B" w:rsidRPr="003C668B" w:rsidRDefault="003C668B" w:rsidP="003C668B">
            <w:pPr>
              <w:rPr>
                <w:rFonts w:ascii="Times New Roman" w:hAnsi="Times New Roman" w:cs="Times New Roman"/>
              </w:rPr>
            </w:pPr>
          </w:p>
          <w:p w14:paraId="459337E8" w14:textId="77777777" w:rsidR="003C668B" w:rsidRPr="003C668B" w:rsidRDefault="003C668B" w:rsidP="003C668B">
            <w:pPr>
              <w:rPr>
                <w:rFonts w:ascii="Times New Roman" w:hAnsi="Times New Roman" w:cs="Times New Roman"/>
              </w:rPr>
            </w:pPr>
          </w:p>
          <w:p w14:paraId="3BD49872" w14:textId="77777777" w:rsidR="003C668B" w:rsidRPr="003C668B" w:rsidRDefault="003C668B" w:rsidP="003C668B">
            <w:pPr>
              <w:rPr>
                <w:rFonts w:ascii="Times New Roman" w:hAnsi="Times New Roman" w:cs="Times New Roman"/>
              </w:rPr>
            </w:pPr>
          </w:p>
          <w:p w14:paraId="65E92D18" w14:textId="77777777" w:rsidR="003C668B" w:rsidRPr="003C668B" w:rsidRDefault="003C668B" w:rsidP="003C668B">
            <w:pPr>
              <w:rPr>
                <w:rFonts w:ascii="Times New Roman" w:hAnsi="Times New Roman" w:cs="Times New Roman"/>
              </w:rPr>
            </w:pPr>
          </w:p>
          <w:p w14:paraId="3D73F033" w14:textId="77777777" w:rsidR="003C668B" w:rsidRPr="003C668B" w:rsidRDefault="003C668B" w:rsidP="003C668B">
            <w:pPr>
              <w:rPr>
                <w:rFonts w:ascii="Times New Roman" w:hAnsi="Times New Roman" w:cs="Times New Roman"/>
              </w:rPr>
            </w:pPr>
          </w:p>
          <w:p w14:paraId="23D29F62"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400</w:t>
            </w:r>
          </w:p>
        </w:tc>
      </w:tr>
      <w:tr w:rsidR="003C668B" w:rsidRPr="003C668B" w14:paraId="3228126F" w14:textId="77777777">
        <w:tc>
          <w:tcPr>
            <w:tcW w:w="696" w:type="dxa"/>
            <w:tcBorders>
              <w:top w:val="single" w:sz="4" w:space="0" w:color="000000"/>
              <w:bottom w:val="single" w:sz="4" w:space="0" w:color="000000"/>
              <w:right w:val="single" w:sz="4" w:space="0" w:color="000000"/>
            </w:tcBorders>
            <w:tcMar>
              <w:left w:w="108" w:type="dxa"/>
              <w:right w:w="108" w:type="dxa"/>
            </w:tcMar>
          </w:tcPr>
          <w:p w14:paraId="481A208C" w14:textId="77777777" w:rsidR="003C668B" w:rsidRPr="003C668B" w:rsidRDefault="003C668B" w:rsidP="003C668B">
            <w:pPr>
              <w:rPr>
                <w:rFonts w:ascii="Times New Roman" w:hAnsi="Times New Roman" w:cs="Times New Roman"/>
              </w:rPr>
            </w:pPr>
          </w:p>
          <w:p w14:paraId="2D5F6AE2" w14:textId="77777777" w:rsidR="003C668B" w:rsidRPr="003C668B" w:rsidRDefault="003C668B" w:rsidP="003C668B">
            <w:pPr>
              <w:rPr>
                <w:rFonts w:ascii="Times New Roman" w:hAnsi="Times New Roman" w:cs="Times New Roman"/>
              </w:rPr>
            </w:pPr>
          </w:p>
          <w:p w14:paraId="409439A4" w14:textId="77777777" w:rsidR="003C668B" w:rsidRPr="003C668B" w:rsidRDefault="003C668B" w:rsidP="003C668B">
            <w:pPr>
              <w:rPr>
                <w:rFonts w:ascii="Times New Roman" w:hAnsi="Times New Roman" w:cs="Times New Roman"/>
              </w:rPr>
            </w:pPr>
          </w:p>
          <w:p w14:paraId="117424BE"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04</w:t>
            </w:r>
          </w:p>
        </w:tc>
        <w:tc>
          <w:tcPr>
            <w:tcW w:w="361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FB25089"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EXCLUSIVO PARA ME/EPP</w:t>
            </w:r>
          </w:p>
          <w:p w14:paraId="66C8647E"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 xml:space="preserve">Colher em aço inox para sobremesa, cabo lapidado em alto relevo. Marcas de referência: </w:t>
            </w:r>
            <w:proofErr w:type="spellStart"/>
            <w:r w:rsidRPr="003C668B">
              <w:rPr>
                <w:rFonts w:ascii="Times New Roman" w:hAnsi="Times New Roman" w:cs="Times New Roman"/>
              </w:rPr>
              <w:t>Brinox</w:t>
            </w:r>
            <w:proofErr w:type="spellEnd"/>
            <w:r w:rsidRPr="003C668B">
              <w:rPr>
                <w:rFonts w:ascii="Times New Roman" w:hAnsi="Times New Roman" w:cs="Times New Roman"/>
              </w:rPr>
              <w:t xml:space="preserve">, Wolff, Tramontina, Equivalente ou similar e/ou de melhor qualidade. Prazo de </w:t>
            </w:r>
            <w:r w:rsidRPr="003C668B">
              <w:rPr>
                <w:rFonts w:ascii="Times New Roman" w:hAnsi="Times New Roman" w:cs="Times New Roman"/>
              </w:rPr>
              <w:lastRenderedPageBreak/>
              <w:t>validade mínima 01 (um) ano da data de entrega</w:t>
            </w:r>
          </w:p>
        </w:tc>
        <w:tc>
          <w:tcPr>
            <w:tcW w:w="13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0C435FA" w14:textId="77777777" w:rsidR="003C668B" w:rsidRPr="003C668B" w:rsidRDefault="003C668B" w:rsidP="003C668B">
            <w:pPr>
              <w:rPr>
                <w:rFonts w:ascii="Times New Roman" w:hAnsi="Times New Roman" w:cs="Times New Roman"/>
              </w:rPr>
            </w:pPr>
          </w:p>
          <w:p w14:paraId="7257897D" w14:textId="77777777" w:rsidR="003C668B" w:rsidRPr="003C668B" w:rsidRDefault="003C668B" w:rsidP="003C668B">
            <w:pPr>
              <w:rPr>
                <w:rFonts w:ascii="Times New Roman" w:hAnsi="Times New Roman" w:cs="Times New Roman"/>
              </w:rPr>
            </w:pPr>
          </w:p>
          <w:p w14:paraId="2342802A" w14:textId="77777777" w:rsidR="003C668B" w:rsidRPr="003C668B" w:rsidRDefault="003C668B" w:rsidP="003C668B">
            <w:pPr>
              <w:rPr>
                <w:rFonts w:ascii="Times New Roman" w:hAnsi="Times New Roman" w:cs="Times New Roman"/>
              </w:rPr>
            </w:pPr>
          </w:p>
          <w:p w14:paraId="493B998F"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241767-7</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E7ED5AC" w14:textId="77777777" w:rsidR="003C668B" w:rsidRPr="003C668B" w:rsidRDefault="003C668B" w:rsidP="003C668B">
            <w:pPr>
              <w:rPr>
                <w:rFonts w:ascii="Times New Roman" w:hAnsi="Times New Roman" w:cs="Times New Roman"/>
              </w:rPr>
            </w:pPr>
          </w:p>
          <w:p w14:paraId="32D7EF57" w14:textId="77777777" w:rsidR="003C668B" w:rsidRPr="003C668B" w:rsidRDefault="003C668B" w:rsidP="003C668B">
            <w:pPr>
              <w:rPr>
                <w:rFonts w:ascii="Times New Roman" w:hAnsi="Times New Roman" w:cs="Times New Roman"/>
              </w:rPr>
            </w:pPr>
          </w:p>
          <w:p w14:paraId="2105BDDD" w14:textId="77777777" w:rsidR="003C668B" w:rsidRPr="003C668B" w:rsidRDefault="003C668B" w:rsidP="003C668B">
            <w:pPr>
              <w:rPr>
                <w:rFonts w:ascii="Times New Roman" w:hAnsi="Times New Roman" w:cs="Times New Roman"/>
              </w:rPr>
            </w:pPr>
          </w:p>
          <w:p w14:paraId="74519848"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794BE98E" w14:textId="77777777" w:rsidR="003C668B" w:rsidRPr="003C668B" w:rsidRDefault="003C668B" w:rsidP="003C668B">
            <w:pPr>
              <w:rPr>
                <w:rFonts w:ascii="Times New Roman" w:hAnsi="Times New Roman" w:cs="Times New Roman"/>
              </w:rPr>
            </w:pPr>
          </w:p>
          <w:p w14:paraId="704BDFE6" w14:textId="77777777" w:rsidR="003C668B" w:rsidRPr="003C668B" w:rsidRDefault="003C668B" w:rsidP="003C668B">
            <w:pPr>
              <w:rPr>
                <w:rFonts w:ascii="Times New Roman" w:hAnsi="Times New Roman" w:cs="Times New Roman"/>
              </w:rPr>
            </w:pPr>
          </w:p>
          <w:p w14:paraId="29D96960" w14:textId="77777777" w:rsidR="003C668B" w:rsidRPr="003C668B" w:rsidRDefault="003C668B" w:rsidP="003C668B">
            <w:pPr>
              <w:rPr>
                <w:rFonts w:ascii="Times New Roman" w:hAnsi="Times New Roman" w:cs="Times New Roman"/>
              </w:rPr>
            </w:pPr>
          </w:p>
          <w:p w14:paraId="14AC543B"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800</w:t>
            </w:r>
          </w:p>
        </w:tc>
      </w:tr>
      <w:tr w:rsidR="003C668B" w:rsidRPr="003C668B" w14:paraId="13B28218" w14:textId="77777777">
        <w:tc>
          <w:tcPr>
            <w:tcW w:w="696" w:type="dxa"/>
            <w:tcBorders>
              <w:top w:val="single" w:sz="4" w:space="0" w:color="000000"/>
              <w:bottom w:val="single" w:sz="4" w:space="0" w:color="000000"/>
              <w:right w:val="single" w:sz="4" w:space="0" w:color="000000"/>
            </w:tcBorders>
            <w:tcMar>
              <w:left w:w="108" w:type="dxa"/>
              <w:right w:w="108" w:type="dxa"/>
            </w:tcMar>
          </w:tcPr>
          <w:p w14:paraId="4657EC3D" w14:textId="77777777" w:rsidR="003C668B" w:rsidRPr="003C668B" w:rsidRDefault="003C668B" w:rsidP="003C668B">
            <w:pPr>
              <w:rPr>
                <w:rFonts w:ascii="Times New Roman" w:hAnsi="Times New Roman" w:cs="Times New Roman"/>
              </w:rPr>
            </w:pPr>
          </w:p>
          <w:p w14:paraId="360EB7AD" w14:textId="77777777" w:rsidR="003C668B" w:rsidRPr="003C668B" w:rsidRDefault="003C668B" w:rsidP="003C668B">
            <w:pPr>
              <w:rPr>
                <w:rFonts w:ascii="Times New Roman" w:hAnsi="Times New Roman" w:cs="Times New Roman"/>
              </w:rPr>
            </w:pPr>
          </w:p>
          <w:p w14:paraId="6DA947AE" w14:textId="77777777" w:rsidR="003C668B" w:rsidRPr="003C668B" w:rsidRDefault="003C668B" w:rsidP="003C668B">
            <w:pPr>
              <w:rPr>
                <w:rFonts w:ascii="Times New Roman" w:hAnsi="Times New Roman" w:cs="Times New Roman"/>
              </w:rPr>
            </w:pPr>
          </w:p>
          <w:p w14:paraId="122FC444" w14:textId="77777777" w:rsidR="003C668B" w:rsidRPr="003C668B" w:rsidRDefault="003C668B" w:rsidP="003C668B">
            <w:pPr>
              <w:rPr>
                <w:rFonts w:ascii="Times New Roman" w:hAnsi="Times New Roman" w:cs="Times New Roman"/>
              </w:rPr>
            </w:pPr>
          </w:p>
          <w:p w14:paraId="4D892777"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05</w:t>
            </w:r>
          </w:p>
        </w:tc>
        <w:tc>
          <w:tcPr>
            <w:tcW w:w="361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BBD401"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EXCLUSIVO PARA ME/EPP</w:t>
            </w:r>
          </w:p>
          <w:p w14:paraId="3DC0E0B0"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Garrafão vasilhame plástico, redondo, fabricado em polipropileno para armazenamento de água e utilização em bebedouro, capacidade para 20 litros, (vazio), novo, sem rachaduras, sem amassados. Prazo de Validade mínima 01 (um) ano da data de entrega.</w:t>
            </w:r>
          </w:p>
        </w:tc>
        <w:tc>
          <w:tcPr>
            <w:tcW w:w="13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B788DDD" w14:textId="77777777" w:rsidR="003C668B" w:rsidRPr="003C668B" w:rsidRDefault="003C668B" w:rsidP="003C668B">
            <w:pPr>
              <w:rPr>
                <w:rFonts w:ascii="Times New Roman" w:hAnsi="Times New Roman" w:cs="Times New Roman"/>
              </w:rPr>
            </w:pPr>
          </w:p>
          <w:p w14:paraId="4AE72D87" w14:textId="77777777" w:rsidR="003C668B" w:rsidRPr="003C668B" w:rsidRDefault="003C668B" w:rsidP="003C668B">
            <w:pPr>
              <w:rPr>
                <w:rFonts w:ascii="Times New Roman" w:hAnsi="Times New Roman" w:cs="Times New Roman"/>
              </w:rPr>
            </w:pPr>
          </w:p>
          <w:p w14:paraId="21CA7082" w14:textId="77777777" w:rsidR="003C668B" w:rsidRPr="003C668B" w:rsidRDefault="003C668B" w:rsidP="003C668B">
            <w:pPr>
              <w:rPr>
                <w:rFonts w:ascii="Times New Roman" w:hAnsi="Times New Roman" w:cs="Times New Roman"/>
              </w:rPr>
            </w:pPr>
          </w:p>
          <w:p w14:paraId="6E4AE43F" w14:textId="77777777" w:rsidR="003C668B" w:rsidRPr="003C668B" w:rsidRDefault="003C668B" w:rsidP="003C668B">
            <w:pPr>
              <w:rPr>
                <w:rFonts w:ascii="Times New Roman" w:hAnsi="Times New Roman" w:cs="Times New Roman"/>
              </w:rPr>
            </w:pPr>
          </w:p>
          <w:p w14:paraId="4A23277E"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148682-9</w:t>
            </w:r>
          </w:p>
          <w:p w14:paraId="41AEE81C" w14:textId="77777777" w:rsidR="003C668B" w:rsidRPr="003C668B" w:rsidRDefault="003C668B" w:rsidP="003C668B">
            <w:pPr>
              <w:rPr>
                <w:rFonts w:ascii="Times New Roman" w:hAnsi="Times New Roman" w:cs="Times New Roman"/>
              </w:rPr>
            </w:pP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E0B641E" w14:textId="77777777" w:rsidR="003C668B" w:rsidRPr="003C668B" w:rsidRDefault="003C668B" w:rsidP="003C668B">
            <w:pPr>
              <w:rPr>
                <w:rFonts w:ascii="Times New Roman" w:hAnsi="Times New Roman" w:cs="Times New Roman"/>
              </w:rPr>
            </w:pPr>
          </w:p>
          <w:p w14:paraId="460CCCF5" w14:textId="77777777" w:rsidR="003C668B" w:rsidRPr="003C668B" w:rsidRDefault="003C668B" w:rsidP="003C668B">
            <w:pPr>
              <w:rPr>
                <w:rFonts w:ascii="Times New Roman" w:hAnsi="Times New Roman" w:cs="Times New Roman"/>
              </w:rPr>
            </w:pPr>
          </w:p>
          <w:p w14:paraId="741FA8CB" w14:textId="77777777" w:rsidR="003C668B" w:rsidRPr="003C668B" w:rsidRDefault="003C668B" w:rsidP="003C668B">
            <w:pPr>
              <w:rPr>
                <w:rFonts w:ascii="Times New Roman" w:hAnsi="Times New Roman" w:cs="Times New Roman"/>
              </w:rPr>
            </w:pPr>
          </w:p>
          <w:p w14:paraId="7D9B731F" w14:textId="77777777" w:rsidR="003C668B" w:rsidRPr="003C668B" w:rsidRDefault="003C668B" w:rsidP="003C668B">
            <w:pPr>
              <w:rPr>
                <w:rFonts w:ascii="Times New Roman" w:hAnsi="Times New Roman" w:cs="Times New Roman"/>
              </w:rPr>
            </w:pPr>
          </w:p>
          <w:p w14:paraId="4F9C645F"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3DC370F2" w14:textId="77777777" w:rsidR="003C668B" w:rsidRPr="003C668B" w:rsidRDefault="003C668B" w:rsidP="003C668B">
            <w:pPr>
              <w:rPr>
                <w:rFonts w:ascii="Times New Roman" w:hAnsi="Times New Roman" w:cs="Times New Roman"/>
              </w:rPr>
            </w:pPr>
          </w:p>
          <w:p w14:paraId="0DD0C4FD" w14:textId="77777777" w:rsidR="003C668B" w:rsidRPr="003C668B" w:rsidRDefault="003C668B" w:rsidP="003C668B">
            <w:pPr>
              <w:rPr>
                <w:rFonts w:ascii="Times New Roman" w:hAnsi="Times New Roman" w:cs="Times New Roman"/>
              </w:rPr>
            </w:pPr>
          </w:p>
          <w:p w14:paraId="1D21E5EB" w14:textId="77777777" w:rsidR="003C668B" w:rsidRPr="003C668B" w:rsidRDefault="003C668B" w:rsidP="003C668B">
            <w:pPr>
              <w:rPr>
                <w:rFonts w:ascii="Times New Roman" w:hAnsi="Times New Roman" w:cs="Times New Roman"/>
              </w:rPr>
            </w:pPr>
          </w:p>
          <w:p w14:paraId="387E3134" w14:textId="77777777" w:rsidR="003C668B" w:rsidRPr="003C668B" w:rsidRDefault="003C668B" w:rsidP="003C668B">
            <w:pPr>
              <w:rPr>
                <w:rFonts w:ascii="Times New Roman" w:hAnsi="Times New Roman" w:cs="Times New Roman"/>
              </w:rPr>
            </w:pPr>
          </w:p>
          <w:p w14:paraId="5C3260A5"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200</w:t>
            </w:r>
          </w:p>
        </w:tc>
      </w:tr>
      <w:tr w:rsidR="003C668B" w:rsidRPr="003C668B" w14:paraId="10650DDD" w14:textId="77777777">
        <w:tc>
          <w:tcPr>
            <w:tcW w:w="696" w:type="dxa"/>
            <w:tcBorders>
              <w:top w:val="single" w:sz="4" w:space="0" w:color="000000"/>
              <w:bottom w:val="single" w:sz="4" w:space="0" w:color="000000"/>
              <w:right w:val="single" w:sz="4" w:space="0" w:color="000000"/>
            </w:tcBorders>
            <w:tcMar>
              <w:left w:w="108" w:type="dxa"/>
              <w:right w:w="108" w:type="dxa"/>
            </w:tcMar>
          </w:tcPr>
          <w:p w14:paraId="423598A1" w14:textId="77777777" w:rsidR="003C668B" w:rsidRPr="003C668B" w:rsidRDefault="003C668B" w:rsidP="003C668B">
            <w:pPr>
              <w:rPr>
                <w:rFonts w:ascii="Times New Roman" w:hAnsi="Times New Roman" w:cs="Times New Roman"/>
              </w:rPr>
            </w:pPr>
          </w:p>
          <w:p w14:paraId="1D2D1E06" w14:textId="77777777" w:rsidR="003C668B" w:rsidRPr="003C668B" w:rsidRDefault="003C668B" w:rsidP="003C668B">
            <w:pPr>
              <w:rPr>
                <w:rFonts w:ascii="Times New Roman" w:hAnsi="Times New Roman" w:cs="Times New Roman"/>
              </w:rPr>
            </w:pPr>
          </w:p>
          <w:p w14:paraId="66E5953C" w14:textId="77777777" w:rsidR="003C668B" w:rsidRPr="003C668B" w:rsidRDefault="003C668B" w:rsidP="003C668B">
            <w:pPr>
              <w:rPr>
                <w:rFonts w:ascii="Times New Roman" w:hAnsi="Times New Roman" w:cs="Times New Roman"/>
              </w:rPr>
            </w:pPr>
          </w:p>
          <w:p w14:paraId="109AFC76" w14:textId="77777777" w:rsidR="003C668B" w:rsidRPr="003C668B" w:rsidRDefault="003C668B" w:rsidP="003C668B">
            <w:pPr>
              <w:rPr>
                <w:rFonts w:ascii="Times New Roman" w:hAnsi="Times New Roman" w:cs="Times New Roman"/>
              </w:rPr>
            </w:pPr>
          </w:p>
          <w:p w14:paraId="24D3F04B"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06</w:t>
            </w:r>
          </w:p>
        </w:tc>
        <w:tc>
          <w:tcPr>
            <w:tcW w:w="361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1B63447"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EXCLUSIVO PARA ME/EPP</w:t>
            </w:r>
          </w:p>
          <w:p w14:paraId="7600691F"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 xml:space="preserve">Garfo de mesa em inox, com 21 cm comprimento e espessura de 2mm, peso aproximado de 0,046 kg. (Pacotes com 12 unidades). Marcas de referência: </w:t>
            </w:r>
            <w:proofErr w:type="spellStart"/>
            <w:r w:rsidRPr="003C668B">
              <w:rPr>
                <w:rFonts w:ascii="Times New Roman" w:hAnsi="Times New Roman" w:cs="Times New Roman"/>
              </w:rPr>
              <w:t>Artinox</w:t>
            </w:r>
            <w:proofErr w:type="spellEnd"/>
            <w:r w:rsidRPr="003C668B">
              <w:rPr>
                <w:rFonts w:ascii="Times New Roman" w:hAnsi="Times New Roman" w:cs="Times New Roman"/>
              </w:rPr>
              <w:t>, Gourmet Mix, Tramontina.  Equivalente, ou similar e ou de melhor qualidade.  Prazo de Validade mínima 01 (um) ano da data de entrega.</w:t>
            </w:r>
          </w:p>
        </w:tc>
        <w:tc>
          <w:tcPr>
            <w:tcW w:w="13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CDC8AB" w14:textId="77777777" w:rsidR="003C668B" w:rsidRPr="003C668B" w:rsidRDefault="003C668B" w:rsidP="003C668B">
            <w:pPr>
              <w:rPr>
                <w:rFonts w:ascii="Times New Roman" w:hAnsi="Times New Roman" w:cs="Times New Roman"/>
              </w:rPr>
            </w:pPr>
          </w:p>
          <w:p w14:paraId="59980C14" w14:textId="77777777" w:rsidR="003C668B" w:rsidRPr="003C668B" w:rsidRDefault="003C668B" w:rsidP="003C668B">
            <w:pPr>
              <w:rPr>
                <w:rFonts w:ascii="Times New Roman" w:hAnsi="Times New Roman" w:cs="Times New Roman"/>
              </w:rPr>
            </w:pPr>
          </w:p>
          <w:p w14:paraId="391451CE" w14:textId="77777777" w:rsidR="003C668B" w:rsidRPr="003C668B" w:rsidRDefault="003C668B" w:rsidP="003C668B">
            <w:pPr>
              <w:rPr>
                <w:rFonts w:ascii="Times New Roman" w:hAnsi="Times New Roman" w:cs="Times New Roman"/>
              </w:rPr>
            </w:pPr>
          </w:p>
          <w:p w14:paraId="5B930CF3" w14:textId="77777777" w:rsidR="003C668B" w:rsidRPr="003C668B" w:rsidRDefault="003C668B" w:rsidP="003C668B">
            <w:pPr>
              <w:rPr>
                <w:rFonts w:ascii="Times New Roman" w:hAnsi="Times New Roman" w:cs="Times New Roman"/>
              </w:rPr>
            </w:pPr>
          </w:p>
          <w:p w14:paraId="33649A33"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253355-3</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57C5ACA" w14:textId="77777777" w:rsidR="003C668B" w:rsidRPr="003C668B" w:rsidRDefault="003C668B" w:rsidP="003C668B">
            <w:pPr>
              <w:rPr>
                <w:rFonts w:ascii="Times New Roman" w:hAnsi="Times New Roman" w:cs="Times New Roman"/>
              </w:rPr>
            </w:pPr>
          </w:p>
          <w:p w14:paraId="7EB3BD10" w14:textId="77777777" w:rsidR="003C668B" w:rsidRPr="003C668B" w:rsidRDefault="003C668B" w:rsidP="003C668B">
            <w:pPr>
              <w:rPr>
                <w:rFonts w:ascii="Times New Roman" w:hAnsi="Times New Roman" w:cs="Times New Roman"/>
              </w:rPr>
            </w:pPr>
          </w:p>
          <w:p w14:paraId="50690C2B" w14:textId="77777777" w:rsidR="003C668B" w:rsidRPr="003C668B" w:rsidRDefault="003C668B" w:rsidP="003C668B">
            <w:pPr>
              <w:rPr>
                <w:rFonts w:ascii="Times New Roman" w:hAnsi="Times New Roman" w:cs="Times New Roman"/>
              </w:rPr>
            </w:pPr>
          </w:p>
          <w:p w14:paraId="6904A31D" w14:textId="77777777" w:rsidR="003C668B" w:rsidRPr="003C668B" w:rsidRDefault="003C668B" w:rsidP="003C668B">
            <w:pPr>
              <w:rPr>
                <w:rFonts w:ascii="Times New Roman" w:hAnsi="Times New Roman" w:cs="Times New Roman"/>
              </w:rPr>
            </w:pPr>
          </w:p>
          <w:p w14:paraId="71F2730A"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7D3428DC" w14:textId="77777777" w:rsidR="003C668B" w:rsidRPr="003C668B" w:rsidRDefault="003C668B" w:rsidP="003C668B">
            <w:pPr>
              <w:rPr>
                <w:rFonts w:ascii="Times New Roman" w:hAnsi="Times New Roman" w:cs="Times New Roman"/>
              </w:rPr>
            </w:pPr>
          </w:p>
          <w:p w14:paraId="55108538" w14:textId="77777777" w:rsidR="003C668B" w:rsidRPr="003C668B" w:rsidRDefault="003C668B" w:rsidP="003C668B">
            <w:pPr>
              <w:rPr>
                <w:rFonts w:ascii="Times New Roman" w:hAnsi="Times New Roman" w:cs="Times New Roman"/>
              </w:rPr>
            </w:pPr>
          </w:p>
          <w:p w14:paraId="75D39493" w14:textId="77777777" w:rsidR="003C668B" w:rsidRPr="003C668B" w:rsidRDefault="003C668B" w:rsidP="003C668B">
            <w:pPr>
              <w:rPr>
                <w:rFonts w:ascii="Times New Roman" w:hAnsi="Times New Roman" w:cs="Times New Roman"/>
              </w:rPr>
            </w:pPr>
          </w:p>
          <w:p w14:paraId="50F7C66F" w14:textId="77777777" w:rsidR="003C668B" w:rsidRPr="003C668B" w:rsidRDefault="003C668B" w:rsidP="003C668B">
            <w:pPr>
              <w:rPr>
                <w:rFonts w:ascii="Times New Roman" w:hAnsi="Times New Roman" w:cs="Times New Roman"/>
              </w:rPr>
            </w:pPr>
          </w:p>
          <w:p w14:paraId="4C84740E"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1.000</w:t>
            </w:r>
          </w:p>
        </w:tc>
      </w:tr>
      <w:tr w:rsidR="003C668B" w:rsidRPr="003C668B" w14:paraId="48244F39" w14:textId="77777777">
        <w:tc>
          <w:tcPr>
            <w:tcW w:w="696" w:type="dxa"/>
            <w:tcBorders>
              <w:top w:val="single" w:sz="4" w:space="0" w:color="000000"/>
              <w:bottom w:val="single" w:sz="4" w:space="0" w:color="000000"/>
              <w:right w:val="single" w:sz="4" w:space="0" w:color="000000"/>
            </w:tcBorders>
            <w:tcMar>
              <w:left w:w="108" w:type="dxa"/>
              <w:right w:w="108" w:type="dxa"/>
            </w:tcMar>
          </w:tcPr>
          <w:p w14:paraId="0FD1836C" w14:textId="77777777" w:rsidR="003C668B" w:rsidRPr="003C668B" w:rsidRDefault="003C668B" w:rsidP="003C668B">
            <w:pPr>
              <w:rPr>
                <w:rFonts w:ascii="Times New Roman" w:hAnsi="Times New Roman" w:cs="Times New Roman"/>
              </w:rPr>
            </w:pPr>
          </w:p>
          <w:p w14:paraId="73AB792F" w14:textId="77777777" w:rsidR="003C668B" w:rsidRPr="003C668B" w:rsidRDefault="003C668B" w:rsidP="003C668B">
            <w:pPr>
              <w:rPr>
                <w:rFonts w:ascii="Times New Roman" w:hAnsi="Times New Roman" w:cs="Times New Roman"/>
              </w:rPr>
            </w:pPr>
          </w:p>
          <w:p w14:paraId="1454EDB3" w14:textId="77777777" w:rsidR="003C668B" w:rsidRPr="003C668B" w:rsidRDefault="003C668B" w:rsidP="003C668B">
            <w:pPr>
              <w:rPr>
                <w:rFonts w:ascii="Times New Roman" w:hAnsi="Times New Roman" w:cs="Times New Roman"/>
              </w:rPr>
            </w:pPr>
          </w:p>
          <w:p w14:paraId="192F959E" w14:textId="77777777" w:rsidR="003C668B" w:rsidRPr="003C668B" w:rsidRDefault="003C668B" w:rsidP="003C668B">
            <w:pPr>
              <w:rPr>
                <w:rFonts w:ascii="Times New Roman" w:hAnsi="Times New Roman" w:cs="Times New Roman"/>
              </w:rPr>
            </w:pPr>
          </w:p>
          <w:p w14:paraId="518B7A9B" w14:textId="77777777" w:rsidR="003C668B" w:rsidRPr="003C668B" w:rsidRDefault="003C668B" w:rsidP="003C668B">
            <w:pPr>
              <w:rPr>
                <w:rFonts w:ascii="Times New Roman" w:hAnsi="Times New Roman" w:cs="Times New Roman"/>
              </w:rPr>
            </w:pPr>
          </w:p>
          <w:p w14:paraId="6EEB6C97" w14:textId="77777777" w:rsidR="003C668B" w:rsidRPr="003C668B" w:rsidRDefault="003C668B" w:rsidP="003C668B">
            <w:pPr>
              <w:rPr>
                <w:rFonts w:ascii="Times New Roman" w:hAnsi="Times New Roman" w:cs="Times New Roman"/>
              </w:rPr>
            </w:pPr>
          </w:p>
          <w:p w14:paraId="58B1C65A" w14:textId="77777777" w:rsidR="003C668B" w:rsidRPr="003C668B" w:rsidRDefault="003C668B" w:rsidP="003C668B">
            <w:pPr>
              <w:rPr>
                <w:rFonts w:ascii="Times New Roman" w:hAnsi="Times New Roman" w:cs="Times New Roman"/>
              </w:rPr>
            </w:pPr>
          </w:p>
          <w:p w14:paraId="3713614F" w14:textId="77777777" w:rsidR="003C668B" w:rsidRPr="003C668B" w:rsidRDefault="003C668B" w:rsidP="003C668B">
            <w:pPr>
              <w:rPr>
                <w:rFonts w:ascii="Times New Roman" w:hAnsi="Times New Roman" w:cs="Times New Roman"/>
              </w:rPr>
            </w:pPr>
          </w:p>
          <w:p w14:paraId="7D88DBC7"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07</w:t>
            </w:r>
          </w:p>
        </w:tc>
        <w:tc>
          <w:tcPr>
            <w:tcW w:w="361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6645775"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lastRenderedPageBreak/>
              <w:t>EXCLUSIVO PARA ME/EPP</w:t>
            </w:r>
          </w:p>
          <w:p w14:paraId="527BE836"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 xml:space="preserve">Maleta de ferramentas, fabricada em aço carbono, acabamento ergonômico, contendo as seguintes ferramentas,  chave de fenda 1000v 1/8x4, chave Philips PH2 x 125 ml, chave Allien hexagonal 17mm, 14mm, 5mm, 7mm, 8mm, chave inglesa 8” , nível magnético de alumínio com 3 bolhas 30cm </w:t>
            </w:r>
            <w:r w:rsidRPr="003C668B">
              <w:rPr>
                <w:rFonts w:ascii="Times New Roman" w:hAnsi="Times New Roman" w:cs="Times New Roman"/>
              </w:rPr>
              <w:lastRenderedPageBreak/>
              <w:t>11” trena 5 metros x 19mm profissional emborrachada, martelo tipo unha 27mm, empunhadura emborrachado, aço carbono e cabo de fibra, alicate bico meia cana 6”, alicate universal 8” 1000v, alicate de corte 6”, chave de teste de voltagem digital eletricista 12-1000v Prazo máximo de validade 01 (um) ano da data de entrega</w:t>
            </w:r>
          </w:p>
        </w:tc>
        <w:tc>
          <w:tcPr>
            <w:tcW w:w="13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884F1C" w14:textId="77777777" w:rsidR="003C668B" w:rsidRPr="003C668B" w:rsidRDefault="003C668B" w:rsidP="003C668B">
            <w:pPr>
              <w:rPr>
                <w:rFonts w:ascii="Times New Roman" w:hAnsi="Times New Roman" w:cs="Times New Roman"/>
              </w:rPr>
            </w:pPr>
          </w:p>
          <w:p w14:paraId="664FC9CC" w14:textId="77777777" w:rsidR="003C668B" w:rsidRPr="003C668B" w:rsidRDefault="003C668B" w:rsidP="003C668B">
            <w:pPr>
              <w:rPr>
                <w:rFonts w:ascii="Times New Roman" w:hAnsi="Times New Roman" w:cs="Times New Roman"/>
              </w:rPr>
            </w:pPr>
          </w:p>
          <w:p w14:paraId="1DFD9537" w14:textId="77777777" w:rsidR="003C668B" w:rsidRPr="003C668B" w:rsidRDefault="003C668B" w:rsidP="003C668B">
            <w:pPr>
              <w:rPr>
                <w:rFonts w:ascii="Times New Roman" w:hAnsi="Times New Roman" w:cs="Times New Roman"/>
              </w:rPr>
            </w:pPr>
          </w:p>
          <w:p w14:paraId="24522D5C" w14:textId="77777777" w:rsidR="003C668B" w:rsidRPr="003C668B" w:rsidRDefault="003C668B" w:rsidP="003C668B">
            <w:pPr>
              <w:rPr>
                <w:rFonts w:ascii="Times New Roman" w:hAnsi="Times New Roman" w:cs="Times New Roman"/>
              </w:rPr>
            </w:pPr>
          </w:p>
          <w:p w14:paraId="7FA2D5BF" w14:textId="77777777" w:rsidR="003C668B" w:rsidRPr="003C668B" w:rsidRDefault="003C668B" w:rsidP="003C668B">
            <w:pPr>
              <w:rPr>
                <w:rFonts w:ascii="Times New Roman" w:hAnsi="Times New Roman" w:cs="Times New Roman"/>
              </w:rPr>
            </w:pPr>
          </w:p>
          <w:p w14:paraId="24EEEA7D" w14:textId="77777777" w:rsidR="003C668B" w:rsidRPr="003C668B" w:rsidRDefault="003C668B" w:rsidP="003C668B">
            <w:pPr>
              <w:rPr>
                <w:rFonts w:ascii="Times New Roman" w:hAnsi="Times New Roman" w:cs="Times New Roman"/>
              </w:rPr>
            </w:pPr>
          </w:p>
          <w:p w14:paraId="7CA678AD" w14:textId="77777777" w:rsidR="003C668B" w:rsidRPr="003C668B" w:rsidRDefault="003C668B" w:rsidP="003C668B">
            <w:pPr>
              <w:rPr>
                <w:rFonts w:ascii="Times New Roman" w:hAnsi="Times New Roman" w:cs="Times New Roman"/>
              </w:rPr>
            </w:pPr>
          </w:p>
          <w:p w14:paraId="197078B1" w14:textId="77777777" w:rsidR="003C668B" w:rsidRPr="003C668B" w:rsidRDefault="003C668B" w:rsidP="003C668B">
            <w:pPr>
              <w:rPr>
                <w:rFonts w:ascii="Times New Roman" w:hAnsi="Times New Roman" w:cs="Times New Roman"/>
              </w:rPr>
            </w:pPr>
          </w:p>
          <w:p w14:paraId="0AD2CAE3"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00054181</w:t>
            </w:r>
          </w:p>
          <w:p w14:paraId="53BE1CDD" w14:textId="77777777" w:rsidR="003C668B" w:rsidRPr="003C668B" w:rsidRDefault="003C668B" w:rsidP="003C668B">
            <w:pPr>
              <w:rPr>
                <w:rFonts w:ascii="Times New Roman" w:hAnsi="Times New Roman" w:cs="Times New Roman"/>
              </w:rPr>
            </w:pP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F661F2E" w14:textId="77777777" w:rsidR="003C668B" w:rsidRPr="003C668B" w:rsidRDefault="003C668B" w:rsidP="003C668B">
            <w:pPr>
              <w:rPr>
                <w:rFonts w:ascii="Times New Roman" w:hAnsi="Times New Roman" w:cs="Times New Roman"/>
              </w:rPr>
            </w:pPr>
          </w:p>
          <w:p w14:paraId="4BC6F9D5" w14:textId="77777777" w:rsidR="003C668B" w:rsidRPr="003C668B" w:rsidRDefault="003C668B" w:rsidP="003C668B">
            <w:pPr>
              <w:rPr>
                <w:rFonts w:ascii="Times New Roman" w:hAnsi="Times New Roman" w:cs="Times New Roman"/>
              </w:rPr>
            </w:pPr>
          </w:p>
          <w:p w14:paraId="2B6B3D37" w14:textId="77777777" w:rsidR="003C668B" w:rsidRPr="003C668B" w:rsidRDefault="003C668B" w:rsidP="003C668B">
            <w:pPr>
              <w:rPr>
                <w:rFonts w:ascii="Times New Roman" w:hAnsi="Times New Roman" w:cs="Times New Roman"/>
              </w:rPr>
            </w:pPr>
          </w:p>
          <w:p w14:paraId="4C1842D8" w14:textId="77777777" w:rsidR="003C668B" w:rsidRPr="003C668B" w:rsidRDefault="003C668B" w:rsidP="003C668B">
            <w:pPr>
              <w:rPr>
                <w:rFonts w:ascii="Times New Roman" w:hAnsi="Times New Roman" w:cs="Times New Roman"/>
              </w:rPr>
            </w:pPr>
          </w:p>
          <w:p w14:paraId="59C92678" w14:textId="77777777" w:rsidR="003C668B" w:rsidRPr="003C668B" w:rsidRDefault="003C668B" w:rsidP="003C668B">
            <w:pPr>
              <w:rPr>
                <w:rFonts w:ascii="Times New Roman" w:hAnsi="Times New Roman" w:cs="Times New Roman"/>
              </w:rPr>
            </w:pPr>
          </w:p>
          <w:p w14:paraId="14D5A6CF" w14:textId="77777777" w:rsidR="003C668B" w:rsidRPr="003C668B" w:rsidRDefault="003C668B" w:rsidP="003C668B">
            <w:pPr>
              <w:rPr>
                <w:rFonts w:ascii="Times New Roman" w:hAnsi="Times New Roman" w:cs="Times New Roman"/>
              </w:rPr>
            </w:pPr>
          </w:p>
          <w:p w14:paraId="636D052D" w14:textId="77777777" w:rsidR="003C668B" w:rsidRPr="003C668B" w:rsidRDefault="003C668B" w:rsidP="003C668B">
            <w:pPr>
              <w:rPr>
                <w:rFonts w:ascii="Times New Roman" w:hAnsi="Times New Roman" w:cs="Times New Roman"/>
              </w:rPr>
            </w:pPr>
          </w:p>
          <w:p w14:paraId="686C6F1B" w14:textId="77777777" w:rsidR="003C668B" w:rsidRPr="003C668B" w:rsidRDefault="003C668B" w:rsidP="003C668B">
            <w:pPr>
              <w:rPr>
                <w:rFonts w:ascii="Times New Roman" w:hAnsi="Times New Roman" w:cs="Times New Roman"/>
              </w:rPr>
            </w:pPr>
          </w:p>
          <w:p w14:paraId="22EF3DE5"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4F2640EC" w14:textId="77777777" w:rsidR="003C668B" w:rsidRPr="003C668B" w:rsidRDefault="003C668B" w:rsidP="003C668B">
            <w:pPr>
              <w:rPr>
                <w:rFonts w:ascii="Times New Roman" w:hAnsi="Times New Roman" w:cs="Times New Roman"/>
              </w:rPr>
            </w:pPr>
          </w:p>
          <w:p w14:paraId="0995898F" w14:textId="77777777" w:rsidR="003C668B" w:rsidRPr="003C668B" w:rsidRDefault="003C668B" w:rsidP="003C668B">
            <w:pPr>
              <w:rPr>
                <w:rFonts w:ascii="Times New Roman" w:hAnsi="Times New Roman" w:cs="Times New Roman"/>
              </w:rPr>
            </w:pPr>
          </w:p>
          <w:p w14:paraId="48CAF509" w14:textId="77777777" w:rsidR="003C668B" w:rsidRPr="003C668B" w:rsidRDefault="003C668B" w:rsidP="003C668B">
            <w:pPr>
              <w:rPr>
                <w:rFonts w:ascii="Times New Roman" w:hAnsi="Times New Roman" w:cs="Times New Roman"/>
              </w:rPr>
            </w:pPr>
          </w:p>
          <w:p w14:paraId="2D273C0D" w14:textId="77777777" w:rsidR="003C668B" w:rsidRPr="003C668B" w:rsidRDefault="003C668B" w:rsidP="003C668B">
            <w:pPr>
              <w:rPr>
                <w:rFonts w:ascii="Times New Roman" w:hAnsi="Times New Roman" w:cs="Times New Roman"/>
              </w:rPr>
            </w:pPr>
          </w:p>
          <w:p w14:paraId="55379A22" w14:textId="77777777" w:rsidR="003C668B" w:rsidRPr="003C668B" w:rsidRDefault="003C668B" w:rsidP="003C668B">
            <w:pPr>
              <w:rPr>
                <w:rFonts w:ascii="Times New Roman" w:hAnsi="Times New Roman" w:cs="Times New Roman"/>
              </w:rPr>
            </w:pPr>
          </w:p>
          <w:p w14:paraId="5120FB45" w14:textId="77777777" w:rsidR="003C668B" w:rsidRPr="003C668B" w:rsidRDefault="003C668B" w:rsidP="003C668B">
            <w:pPr>
              <w:rPr>
                <w:rFonts w:ascii="Times New Roman" w:hAnsi="Times New Roman" w:cs="Times New Roman"/>
              </w:rPr>
            </w:pPr>
          </w:p>
          <w:p w14:paraId="795455A3" w14:textId="77777777" w:rsidR="003C668B" w:rsidRPr="003C668B" w:rsidRDefault="003C668B" w:rsidP="003C668B">
            <w:pPr>
              <w:rPr>
                <w:rFonts w:ascii="Times New Roman" w:hAnsi="Times New Roman" w:cs="Times New Roman"/>
              </w:rPr>
            </w:pPr>
          </w:p>
          <w:p w14:paraId="33664AAC" w14:textId="77777777" w:rsidR="003C668B" w:rsidRPr="003C668B" w:rsidRDefault="003C668B" w:rsidP="003C668B">
            <w:pPr>
              <w:rPr>
                <w:rFonts w:ascii="Times New Roman" w:hAnsi="Times New Roman" w:cs="Times New Roman"/>
              </w:rPr>
            </w:pPr>
          </w:p>
          <w:p w14:paraId="764B7715"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50</w:t>
            </w:r>
          </w:p>
        </w:tc>
      </w:tr>
      <w:tr w:rsidR="003C668B" w:rsidRPr="003C668B" w14:paraId="4BA18346" w14:textId="77777777">
        <w:tc>
          <w:tcPr>
            <w:tcW w:w="696" w:type="dxa"/>
            <w:tcBorders>
              <w:top w:val="single" w:sz="4" w:space="0" w:color="000000"/>
              <w:bottom w:val="single" w:sz="4" w:space="0" w:color="000000"/>
              <w:right w:val="single" w:sz="4" w:space="0" w:color="000000"/>
            </w:tcBorders>
            <w:tcMar>
              <w:left w:w="108" w:type="dxa"/>
              <w:right w:w="108" w:type="dxa"/>
            </w:tcMar>
          </w:tcPr>
          <w:p w14:paraId="34001B72"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lastRenderedPageBreak/>
              <w:t>08</w:t>
            </w:r>
          </w:p>
        </w:tc>
        <w:tc>
          <w:tcPr>
            <w:tcW w:w="361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329A0CF"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EXCLUSIVO PARA ME/EPP</w:t>
            </w:r>
          </w:p>
          <w:p w14:paraId="6F0AE81C"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 xml:space="preserve">Prato raso, vidro </w:t>
            </w:r>
            <w:proofErr w:type="spellStart"/>
            <w:r w:rsidRPr="003C668B">
              <w:rPr>
                <w:rFonts w:ascii="Times New Roman" w:hAnsi="Times New Roman" w:cs="Times New Roman"/>
              </w:rPr>
              <w:t>opalatino</w:t>
            </w:r>
            <w:proofErr w:type="spellEnd"/>
            <w:r w:rsidRPr="003C668B">
              <w:rPr>
                <w:rFonts w:ascii="Times New Roman" w:hAnsi="Times New Roman" w:cs="Times New Roman"/>
              </w:rPr>
              <w:t xml:space="preserve">, liso cor branco, medindo aproximadamente 28cm de diâmetro, 2 mm de espessura. Marcas de referência: </w:t>
            </w:r>
            <w:proofErr w:type="spellStart"/>
            <w:r w:rsidRPr="003C668B">
              <w:rPr>
                <w:rFonts w:ascii="Times New Roman" w:hAnsi="Times New Roman" w:cs="Times New Roman"/>
              </w:rPr>
              <w:t>Duralex</w:t>
            </w:r>
            <w:proofErr w:type="spellEnd"/>
            <w:r w:rsidRPr="003C668B">
              <w:rPr>
                <w:rFonts w:ascii="Times New Roman" w:hAnsi="Times New Roman" w:cs="Times New Roman"/>
              </w:rPr>
              <w:t>, Schmidt, Oxford. Equivalente ou similar e/ou de melhor qualidade. Prazo de Validade mínima 01 (um) ano da data de entrega</w:t>
            </w:r>
          </w:p>
        </w:tc>
        <w:tc>
          <w:tcPr>
            <w:tcW w:w="13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0775BE2"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00078685</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0CB243"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581F80EA"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1000</w:t>
            </w:r>
          </w:p>
        </w:tc>
      </w:tr>
      <w:tr w:rsidR="003C668B" w:rsidRPr="003C668B" w14:paraId="1D1CC63C" w14:textId="77777777">
        <w:tc>
          <w:tcPr>
            <w:tcW w:w="696" w:type="dxa"/>
            <w:tcBorders>
              <w:top w:val="single" w:sz="4" w:space="0" w:color="000000"/>
              <w:bottom w:val="single" w:sz="4" w:space="0" w:color="000000"/>
              <w:right w:val="single" w:sz="4" w:space="0" w:color="000000"/>
            </w:tcBorders>
            <w:tcMar>
              <w:left w:w="108" w:type="dxa"/>
              <w:right w:w="108" w:type="dxa"/>
            </w:tcMar>
          </w:tcPr>
          <w:p w14:paraId="0E35EE59" w14:textId="77777777" w:rsidR="003C668B" w:rsidRPr="003C668B" w:rsidRDefault="003C668B" w:rsidP="003C668B">
            <w:pPr>
              <w:rPr>
                <w:rFonts w:ascii="Times New Roman" w:hAnsi="Times New Roman" w:cs="Times New Roman"/>
              </w:rPr>
            </w:pPr>
          </w:p>
          <w:p w14:paraId="46057E9C" w14:textId="77777777" w:rsidR="003C668B" w:rsidRPr="003C668B" w:rsidRDefault="003C668B" w:rsidP="003C668B">
            <w:pPr>
              <w:rPr>
                <w:rFonts w:ascii="Times New Roman" w:hAnsi="Times New Roman" w:cs="Times New Roman"/>
              </w:rPr>
            </w:pPr>
          </w:p>
          <w:p w14:paraId="5BD6FBF0" w14:textId="77777777" w:rsidR="003C668B" w:rsidRPr="003C668B" w:rsidRDefault="003C668B" w:rsidP="003C668B">
            <w:pPr>
              <w:rPr>
                <w:rFonts w:ascii="Times New Roman" w:hAnsi="Times New Roman" w:cs="Times New Roman"/>
              </w:rPr>
            </w:pPr>
          </w:p>
          <w:p w14:paraId="618C1B26"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09</w:t>
            </w:r>
          </w:p>
        </w:tc>
        <w:tc>
          <w:tcPr>
            <w:tcW w:w="361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6FA6F66"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EXCLUSIVO PARA ME/EPP</w:t>
            </w:r>
          </w:p>
          <w:p w14:paraId="609079CA"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 xml:space="preserve">Plástico bolha incolor 25 micas, bobina de 1,30 X 100 metros.  Marcas de referência: Genérico, Volpato, </w:t>
            </w:r>
            <w:proofErr w:type="spellStart"/>
            <w:r w:rsidRPr="003C668B">
              <w:rPr>
                <w:rFonts w:ascii="Times New Roman" w:hAnsi="Times New Roman" w:cs="Times New Roman"/>
              </w:rPr>
              <w:t>Tecbol</w:t>
            </w:r>
            <w:proofErr w:type="spellEnd"/>
            <w:r w:rsidRPr="003C668B">
              <w:rPr>
                <w:rFonts w:ascii="Times New Roman" w:hAnsi="Times New Roman" w:cs="Times New Roman"/>
              </w:rPr>
              <w:t>.  Prazo de Validade mínima 01 (um) ano da data de entrega</w:t>
            </w:r>
          </w:p>
        </w:tc>
        <w:tc>
          <w:tcPr>
            <w:tcW w:w="13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19D1D24" w14:textId="77777777" w:rsidR="003C668B" w:rsidRPr="003C668B" w:rsidRDefault="003C668B" w:rsidP="003C668B">
            <w:pPr>
              <w:rPr>
                <w:rFonts w:ascii="Times New Roman" w:hAnsi="Times New Roman" w:cs="Times New Roman"/>
              </w:rPr>
            </w:pPr>
          </w:p>
          <w:p w14:paraId="2373B0FE" w14:textId="77777777" w:rsidR="003C668B" w:rsidRPr="003C668B" w:rsidRDefault="003C668B" w:rsidP="003C668B">
            <w:pPr>
              <w:rPr>
                <w:rFonts w:ascii="Times New Roman" w:hAnsi="Times New Roman" w:cs="Times New Roman"/>
              </w:rPr>
            </w:pPr>
          </w:p>
          <w:p w14:paraId="2859BB9E" w14:textId="77777777" w:rsidR="003C668B" w:rsidRPr="003C668B" w:rsidRDefault="003C668B" w:rsidP="003C668B">
            <w:pPr>
              <w:rPr>
                <w:rFonts w:ascii="Times New Roman" w:hAnsi="Times New Roman" w:cs="Times New Roman"/>
              </w:rPr>
            </w:pPr>
          </w:p>
          <w:p w14:paraId="157F70D8"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161934-9</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518DD24" w14:textId="77777777" w:rsidR="003C668B" w:rsidRPr="003C668B" w:rsidRDefault="003C668B" w:rsidP="003C668B">
            <w:pPr>
              <w:rPr>
                <w:rFonts w:ascii="Times New Roman" w:hAnsi="Times New Roman" w:cs="Times New Roman"/>
              </w:rPr>
            </w:pPr>
          </w:p>
          <w:p w14:paraId="35E8A3A4" w14:textId="77777777" w:rsidR="003C668B" w:rsidRPr="003C668B" w:rsidRDefault="003C668B" w:rsidP="003C668B">
            <w:pPr>
              <w:rPr>
                <w:rFonts w:ascii="Times New Roman" w:hAnsi="Times New Roman" w:cs="Times New Roman"/>
              </w:rPr>
            </w:pPr>
          </w:p>
          <w:p w14:paraId="38DAA431" w14:textId="77777777" w:rsidR="003C668B" w:rsidRPr="003C668B" w:rsidRDefault="003C668B" w:rsidP="003C668B">
            <w:pPr>
              <w:rPr>
                <w:rFonts w:ascii="Times New Roman" w:hAnsi="Times New Roman" w:cs="Times New Roman"/>
              </w:rPr>
            </w:pPr>
          </w:p>
          <w:p w14:paraId="36D9CEEF"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5CE46636" w14:textId="77777777" w:rsidR="003C668B" w:rsidRPr="003C668B" w:rsidRDefault="003C668B" w:rsidP="003C668B">
            <w:pPr>
              <w:rPr>
                <w:rFonts w:ascii="Times New Roman" w:hAnsi="Times New Roman" w:cs="Times New Roman"/>
              </w:rPr>
            </w:pPr>
          </w:p>
          <w:p w14:paraId="41321915" w14:textId="77777777" w:rsidR="003C668B" w:rsidRPr="003C668B" w:rsidRDefault="003C668B" w:rsidP="003C668B">
            <w:pPr>
              <w:rPr>
                <w:rFonts w:ascii="Times New Roman" w:hAnsi="Times New Roman" w:cs="Times New Roman"/>
              </w:rPr>
            </w:pPr>
          </w:p>
          <w:p w14:paraId="39F910F2" w14:textId="77777777" w:rsidR="003C668B" w:rsidRPr="003C668B" w:rsidRDefault="003C668B" w:rsidP="003C668B">
            <w:pPr>
              <w:rPr>
                <w:rFonts w:ascii="Times New Roman" w:hAnsi="Times New Roman" w:cs="Times New Roman"/>
              </w:rPr>
            </w:pPr>
          </w:p>
          <w:p w14:paraId="230BF759"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200</w:t>
            </w:r>
          </w:p>
        </w:tc>
      </w:tr>
      <w:tr w:rsidR="003C668B" w:rsidRPr="003C668B" w14:paraId="19DE82FD" w14:textId="77777777">
        <w:tc>
          <w:tcPr>
            <w:tcW w:w="696" w:type="dxa"/>
            <w:tcBorders>
              <w:top w:val="single" w:sz="4" w:space="0" w:color="000000"/>
              <w:bottom w:val="single" w:sz="4" w:space="0" w:color="000000"/>
              <w:right w:val="single" w:sz="4" w:space="0" w:color="000000"/>
            </w:tcBorders>
            <w:tcMar>
              <w:left w:w="108" w:type="dxa"/>
              <w:right w:w="108" w:type="dxa"/>
            </w:tcMar>
          </w:tcPr>
          <w:p w14:paraId="73EDA869" w14:textId="77777777" w:rsidR="003C668B" w:rsidRPr="003C668B" w:rsidRDefault="003C668B" w:rsidP="003C668B">
            <w:pPr>
              <w:rPr>
                <w:rFonts w:ascii="Times New Roman" w:hAnsi="Times New Roman" w:cs="Times New Roman"/>
              </w:rPr>
            </w:pPr>
          </w:p>
          <w:p w14:paraId="7F62C252" w14:textId="77777777" w:rsidR="003C668B" w:rsidRPr="003C668B" w:rsidRDefault="003C668B" w:rsidP="003C668B">
            <w:pPr>
              <w:rPr>
                <w:rFonts w:ascii="Times New Roman" w:hAnsi="Times New Roman" w:cs="Times New Roman"/>
              </w:rPr>
            </w:pPr>
          </w:p>
          <w:p w14:paraId="0AC5BF80" w14:textId="77777777" w:rsidR="003C668B" w:rsidRPr="003C668B" w:rsidRDefault="003C668B" w:rsidP="003C668B">
            <w:pPr>
              <w:rPr>
                <w:rFonts w:ascii="Times New Roman" w:hAnsi="Times New Roman" w:cs="Times New Roman"/>
              </w:rPr>
            </w:pPr>
          </w:p>
          <w:p w14:paraId="5F5040C7" w14:textId="77777777" w:rsidR="003C668B" w:rsidRPr="003C668B" w:rsidRDefault="003C668B" w:rsidP="003C668B">
            <w:pPr>
              <w:rPr>
                <w:rFonts w:ascii="Times New Roman" w:hAnsi="Times New Roman" w:cs="Times New Roman"/>
              </w:rPr>
            </w:pPr>
          </w:p>
          <w:p w14:paraId="24D203BD"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10</w:t>
            </w:r>
          </w:p>
          <w:p w14:paraId="27E61D4A" w14:textId="77777777" w:rsidR="003C668B" w:rsidRPr="003C668B" w:rsidRDefault="003C668B" w:rsidP="003C668B">
            <w:pPr>
              <w:rPr>
                <w:rFonts w:ascii="Times New Roman" w:hAnsi="Times New Roman" w:cs="Times New Roman"/>
              </w:rPr>
            </w:pPr>
          </w:p>
        </w:tc>
        <w:tc>
          <w:tcPr>
            <w:tcW w:w="361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1FE5921"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lastRenderedPageBreak/>
              <w:t xml:space="preserve">EXCLUSIVO PARA ME/EPP                            Xícara com pires para café em porcelana, cor branca, lisa, com uma alça, capacidade para 80ml, diâmetro do pires 70mm. Marcas </w:t>
            </w:r>
            <w:r w:rsidRPr="003C668B">
              <w:rPr>
                <w:rFonts w:ascii="Times New Roman" w:hAnsi="Times New Roman" w:cs="Times New Roman"/>
              </w:rPr>
              <w:lastRenderedPageBreak/>
              <w:t>de referência: Oxford, Schmidt, Porto Brasil. Equivalente, ou similar e/ou de melhor qualidade. Prazo máximo de validade 01 (um) ano da data de entrega</w:t>
            </w:r>
          </w:p>
        </w:tc>
        <w:tc>
          <w:tcPr>
            <w:tcW w:w="139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5AE1822" w14:textId="77777777" w:rsidR="003C668B" w:rsidRPr="003C668B" w:rsidRDefault="003C668B" w:rsidP="003C668B">
            <w:pPr>
              <w:rPr>
                <w:rFonts w:ascii="Times New Roman" w:hAnsi="Times New Roman" w:cs="Times New Roman"/>
              </w:rPr>
            </w:pPr>
          </w:p>
          <w:p w14:paraId="12E0C5B1" w14:textId="77777777" w:rsidR="003C668B" w:rsidRPr="003C668B" w:rsidRDefault="003C668B" w:rsidP="003C668B">
            <w:pPr>
              <w:rPr>
                <w:rFonts w:ascii="Times New Roman" w:hAnsi="Times New Roman" w:cs="Times New Roman"/>
              </w:rPr>
            </w:pPr>
          </w:p>
          <w:p w14:paraId="540CDC02" w14:textId="77777777" w:rsidR="003C668B" w:rsidRPr="003C668B" w:rsidRDefault="003C668B" w:rsidP="003C668B">
            <w:pPr>
              <w:rPr>
                <w:rFonts w:ascii="Times New Roman" w:hAnsi="Times New Roman" w:cs="Times New Roman"/>
              </w:rPr>
            </w:pPr>
          </w:p>
          <w:p w14:paraId="0C612839" w14:textId="77777777" w:rsidR="003C668B" w:rsidRPr="003C668B" w:rsidRDefault="003C668B" w:rsidP="003C668B">
            <w:pPr>
              <w:rPr>
                <w:rFonts w:ascii="Times New Roman" w:hAnsi="Times New Roman" w:cs="Times New Roman"/>
              </w:rPr>
            </w:pPr>
          </w:p>
          <w:p w14:paraId="0650D0FA"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239980-6</w:t>
            </w:r>
          </w:p>
        </w:tc>
        <w:tc>
          <w:tcPr>
            <w:tcW w:w="1732"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56DB81F" w14:textId="77777777" w:rsidR="003C668B" w:rsidRPr="003C668B" w:rsidRDefault="003C668B" w:rsidP="003C668B">
            <w:pPr>
              <w:rPr>
                <w:rFonts w:ascii="Times New Roman" w:hAnsi="Times New Roman" w:cs="Times New Roman"/>
              </w:rPr>
            </w:pPr>
          </w:p>
          <w:p w14:paraId="3D3D6B08" w14:textId="77777777" w:rsidR="003C668B" w:rsidRPr="003C668B" w:rsidRDefault="003C668B" w:rsidP="003C668B">
            <w:pPr>
              <w:rPr>
                <w:rFonts w:ascii="Times New Roman" w:hAnsi="Times New Roman" w:cs="Times New Roman"/>
              </w:rPr>
            </w:pPr>
          </w:p>
          <w:p w14:paraId="783FEFB7" w14:textId="77777777" w:rsidR="003C668B" w:rsidRPr="003C668B" w:rsidRDefault="003C668B" w:rsidP="003C668B">
            <w:pPr>
              <w:rPr>
                <w:rFonts w:ascii="Times New Roman" w:hAnsi="Times New Roman" w:cs="Times New Roman"/>
              </w:rPr>
            </w:pPr>
          </w:p>
          <w:p w14:paraId="47DC2934" w14:textId="77777777" w:rsidR="003C668B" w:rsidRPr="003C668B" w:rsidRDefault="003C668B" w:rsidP="003C668B">
            <w:pPr>
              <w:rPr>
                <w:rFonts w:ascii="Times New Roman" w:hAnsi="Times New Roman" w:cs="Times New Roman"/>
              </w:rPr>
            </w:pPr>
          </w:p>
          <w:p w14:paraId="6425951E"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Unidade</w:t>
            </w:r>
          </w:p>
        </w:tc>
        <w:tc>
          <w:tcPr>
            <w:tcW w:w="1815" w:type="dxa"/>
            <w:tcBorders>
              <w:top w:val="single" w:sz="4" w:space="0" w:color="000000"/>
              <w:left w:val="single" w:sz="4" w:space="0" w:color="000000"/>
              <w:bottom w:val="single" w:sz="4" w:space="0" w:color="000000"/>
            </w:tcBorders>
            <w:tcMar>
              <w:left w:w="108" w:type="dxa"/>
              <w:right w:w="108" w:type="dxa"/>
            </w:tcMar>
          </w:tcPr>
          <w:p w14:paraId="10D688F3" w14:textId="77777777" w:rsidR="003C668B" w:rsidRPr="003C668B" w:rsidRDefault="003C668B" w:rsidP="003C668B">
            <w:pPr>
              <w:rPr>
                <w:rFonts w:ascii="Times New Roman" w:hAnsi="Times New Roman" w:cs="Times New Roman"/>
              </w:rPr>
            </w:pPr>
          </w:p>
          <w:p w14:paraId="11509F15" w14:textId="77777777" w:rsidR="003C668B" w:rsidRPr="003C668B" w:rsidRDefault="003C668B" w:rsidP="003C668B">
            <w:pPr>
              <w:rPr>
                <w:rFonts w:ascii="Times New Roman" w:hAnsi="Times New Roman" w:cs="Times New Roman"/>
              </w:rPr>
            </w:pPr>
          </w:p>
          <w:p w14:paraId="5CF3A312" w14:textId="77777777" w:rsidR="003C668B" w:rsidRPr="003C668B" w:rsidRDefault="003C668B" w:rsidP="003C668B">
            <w:pPr>
              <w:rPr>
                <w:rFonts w:ascii="Times New Roman" w:hAnsi="Times New Roman" w:cs="Times New Roman"/>
              </w:rPr>
            </w:pPr>
          </w:p>
          <w:p w14:paraId="09C3DD75" w14:textId="77777777" w:rsidR="003C668B" w:rsidRPr="003C668B" w:rsidRDefault="003C668B" w:rsidP="003C668B">
            <w:pPr>
              <w:rPr>
                <w:rFonts w:ascii="Times New Roman" w:hAnsi="Times New Roman" w:cs="Times New Roman"/>
              </w:rPr>
            </w:pPr>
          </w:p>
          <w:p w14:paraId="3A1384E8"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1.200</w:t>
            </w:r>
          </w:p>
        </w:tc>
      </w:tr>
    </w:tbl>
    <w:p w14:paraId="0853DB10"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lastRenderedPageBreak/>
        <w:br/>
      </w:r>
    </w:p>
    <w:p w14:paraId="14079C4D"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2. PRAZO DE VIGÊNCIA DA ATA</w:t>
      </w:r>
    </w:p>
    <w:p w14:paraId="03040540" w14:textId="77777777" w:rsidR="003C668B" w:rsidRPr="003C668B" w:rsidRDefault="003C668B" w:rsidP="003C668B">
      <w:pPr>
        <w:ind w:right="-376"/>
        <w:jc w:val="both"/>
        <w:rPr>
          <w:rFonts w:ascii="Times New Roman" w:hAnsi="Times New Roman" w:cs="Times New Roman"/>
        </w:rPr>
      </w:pPr>
      <w:r w:rsidRPr="003C668B">
        <w:rPr>
          <w:rFonts w:ascii="Times New Roman" w:hAnsi="Times New Roman" w:cs="Times New Roman"/>
        </w:rPr>
        <w:t>2.1. A Ata de Registro de Preços terá vigência de 01 (um) ano, contados a partir da data de sua assinatura, podendo ser prorrogada por igual período, desde que demonstrada a vantajosidade da manutenção dos preços registrados, nos termos do art. 84 da Lei nº 14.133/2021.</w:t>
      </w:r>
    </w:p>
    <w:p w14:paraId="4C4A2278" w14:textId="77777777" w:rsidR="003C668B" w:rsidRPr="003C668B" w:rsidRDefault="003C668B" w:rsidP="003C668B">
      <w:pPr>
        <w:rPr>
          <w:rFonts w:ascii="Times New Roman" w:hAnsi="Times New Roman" w:cs="Times New Roman"/>
        </w:rPr>
      </w:pPr>
    </w:p>
    <w:p w14:paraId="5319349B" w14:textId="7E407F3F" w:rsidR="003C668B" w:rsidRPr="003C668B" w:rsidRDefault="003C668B" w:rsidP="003C668B">
      <w:pPr>
        <w:rPr>
          <w:rFonts w:ascii="Times New Roman" w:hAnsi="Times New Roman" w:cs="Times New Roman"/>
        </w:rPr>
      </w:pPr>
      <w:r w:rsidRPr="003C668B">
        <w:rPr>
          <w:rFonts w:ascii="Times New Roman" w:hAnsi="Times New Roman" w:cs="Times New Roman"/>
        </w:rPr>
        <w:t xml:space="preserve">3. DA JUSTIFICATIVA </w:t>
      </w:r>
      <w:r w:rsidR="004A1A3C">
        <w:rPr>
          <w:rFonts w:ascii="Times New Roman" w:hAnsi="Times New Roman" w:cs="Times New Roman"/>
        </w:rPr>
        <w:t>i</w:t>
      </w:r>
    </w:p>
    <w:p w14:paraId="0903F514"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3.1. A presente contratação encontra-se prevista no Plano de Contratações Anual – PCA do exercício vigente do Poder Judiciário do Estado de Mato Grosso, atendendo ao planejamento institucional e às necessidades administrativas do órgão.</w:t>
      </w:r>
    </w:p>
    <w:p w14:paraId="77DDC0C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3.2. A aquisição de materiais de consumo caracteriza-se como demanda contínua e recorrente, indispensável ao regular funcionamento das unidades administrativas e jurisdicionais, não sendo possível a definição exata do quantitativo a ser utilizado ao longo do exercício.</w:t>
      </w:r>
    </w:p>
    <w:p w14:paraId="11397B32"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3.3. Diante dessa característica, mostra-se tecnicamente adequada a adoção do Sistema de Registro de Preços, que possibilita maior eficiência na gestão das aquisições, racionalização dos recursos públicos e atendimento tempestivo das demandas, nos termos da legislação vigente.</w:t>
      </w:r>
    </w:p>
    <w:p w14:paraId="6537EC0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4. DA DESCRIÇÃO DA SOLUÇÃO E DO CICLO DE VIDA DO OBJETO</w:t>
      </w:r>
    </w:p>
    <w:p w14:paraId="2D66B198"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4.1. A contratação tem por finalidade o fornecimento de materiais de consumo destinados à reposição do estoque do almoxarifado, visando atender, de forma contínua e eficiente, as necessidades das unidades jurisdicionais e administrativas do Tribunal de Justiça, Comarcas e Juizados, pelo período estimado de 12 (doze) meses.</w:t>
      </w:r>
    </w:p>
    <w:p w14:paraId="57B7E105"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4.2. A solução contempla todo o ciclo de vida do objeto, desde o fornecimento até o consumo final, assegurando:</w:t>
      </w:r>
    </w:p>
    <w:p w14:paraId="44405DA0" w14:textId="77777777" w:rsidR="003C668B" w:rsidRPr="003C668B" w:rsidRDefault="003C668B" w:rsidP="004A1A3C">
      <w:pPr>
        <w:numPr>
          <w:ilvl w:val="0"/>
          <w:numId w:val="1"/>
        </w:numPr>
        <w:ind w:right="-518"/>
        <w:jc w:val="both"/>
        <w:rPr>
          <w:rFonts w:ascii="Times New Roman" w:hAnsi="Times New Roman" w:cs="Times New Roman"/>
        </w:rPr>
      </w:pPr>
      <w:r w:rsidRPr="003C668B">
        <w:rPr>
          <w:rFonts w:ascii="Times New Roman" w:hAnsi="Times New Roman" w:cs="Times New Roman"/>
        </w:rPr>
        <w:t>a continuidade das atividades administrativas;</w:t>
      </w:r>
    </w:p>
    <w:p w14:paraId="745490AC" w14:textId="77777777" w:rsidR="003C668B" w:rsidRPr="003C668B" w:rsidRDefault="003C668B" w:rsidP="004A1A3C">
      <w:pPr>
        <w:numPr>
          <w:ilvl w:val="0"/>
          <w:numId w:val="1"/>
        </w:numPr>
        <w:ind w:right="-518"/>
        <w:jc w:val="both"/>
        <w:rPr>
          <w:rFonts w:ascii="Times New Roman" w:hAnsi="Times New Roman" w:cs="Times New Roman"/>
        </w:rPr>
      </w:pPr>
      <w:r w:rsidRPr="003C668B">
        <w:rPr>
          <w:rFonts w:ascii="Times New Roman" w:hAnsi="Times New Roman" w:cs="Times New Roman"/>
        </w:rPr>
        <w:lastRenderedPageBreak/>
        <w:t>a manutenção do regular funcionamento das unidades;</w:t>
      </w:r>
    </w:p>
    <w:p w14:paraId="6B3F169C" w14:textId="77777777" w:rsidR="003C668B" w:rsidRPr="003C668B" w:rsidRDefault="003C668B" w:rsidP="004A1A3C">
      <w:pPr>
        <w:numPr>
          <w:ilvl w:val="0"/>
          <w:numId w:val="1"/>
        </w:numPr>
        <w:ind w:right="-518"/>
        <w:jc w:val="both"/>
        <w:rPr>
          <w:rFonts w:ascii="Times New Roman" w:hAnsi="Times New Roman" w:cs="Times New Roman"/>
        </w:rPr>
      </w:pPr>
      <w:r w:rsidRPr="003C668B">
        <w:rPr>
          <w:rFonts w:ascii="Times New Roman" w:hAnsi="Times New Roman" w:cs="Times New Roman"/>
        </w:rPr>
        <w:t>a prevenção de desabastecimento;</w:t>
      </w:r>
    </w:p>
    <w:p w14:paraId="6E534FE3" w14:textId="77777777" w:rsidR="003C668B" w:rsidRPr="003C668B" w:rsidRDefault="003C668B" w:rsidP="004A1A3C">
      <w:pPr>
        <w:numPr>
          <w:ilvl w:val="0"/>
          <w:numId w:val="1"/>
        </w:numPr>
        <w:ind w:right="-518"/>
        <w:jc w:val="both"/>
        <w:rPr>
          <w:rFonts w:ascii="Times New Roman" w:hAnsi="Times New Roman" w:cs="Times New Roman"/>
        </w:rPr>
      </w:pPr>
      <w:r w:rsidRPr="003C668B">
        <w:rPr>
          <w:rFonts w:ascii="Times New Roman" w:hAnsi="Times New Roman" w:cs="Times New Roman"/>
        </w:rPr>
        <w:t>a eficiência logística e operacional.</w:t>
      </w:r>
    </w:p>
    <w:p w14:paraId="0D2CA2FE"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4.3. A contratação fundamenta-se na necessidade institucional de garantir a adequada prestação dos serviços públicos, conforme disposto no inciso XXIII do art. 6º da Lei nº 14.133/2021.</w:t>
      </w:r>
    </w:p>
    <w:p w14:paraId="04759091"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5. DA ALTERAÇÃO OU ATUALIZAÇÃO DOS PREÇOS REGISTRADOS</w:t>
      </w:r>
    </w:p>
    <w:p w14:paraId="2D37B72F"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5.1. Os preços registrados poderão ser alterados ou atualizados, observadas as disposições legais aplicáveis, nas seguintes hipóteses:</w:t>
      </w:r>
    </w:p>
    <w:p w14:paraId="4D7B5BDE"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5.1.1. Ocorrência de força maior, caso fortuito, fato do príncipe ou fatos imprevisíveis ou previsíveis de consequências incalculáveis que tornem a execução da ata excessivamente onerosa, nos termos da alínea “d” do inciso II do art. 124 da Lei nº 14.133/2021;</w:t>
      </w:r>
    </w:p>
    <w:p w14:paraId="10802CAB"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5.1.2. Criação, alteração ou extinção de tributos ou encargos legais, ou ainda superveniência de disposições legais que impactem comprovadamente os preços registrados;</w:t>
      </w:r>
    </w:p>
    <w:p w14:paraId="203E4782"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5.1.3. Previsão expressa no edital ou na Ata de Registro de Preços, conforme autorizado pela Lei nº 14.133/2021;</w:t>
      </w:r>
    </w:p>
    <w:p w14:paraId="104A0039"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5.1.4. Nos casos de reajuste e prorrogação da Ata de Registro de Preços, deverá ser observada a periodicidade mínima anual, adotando-se como índice de reajuste o Índice Nacional de Preços ao Consumidor Amplo – INPC, conforme previsto para a contratação.</w:t>
      </w:r>
    </w:p>
    <w:p w14:paraId="01F754D1"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6. Requisitos da Aquisição</w:t>
      </w:r>
    </w:p>
    <w:p w14:paraId="087D7BB2"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6.1. As características técnicas mínimas para aceitação dos materiais encontram-se especificadas no quadro de descrição do objeto, constante do item 1.4 deste Termo de Referência.</w:t>
      </w:r>
    </w:p>
    <w:p w14:paraId="50FEFDC2"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6.2. Na presente aquisição, admite-se a indicação de marcas de referência ou equivalentes, exclusivamente como parâmetro para facilitar a descrição do item e a compreensão, pelas empresas participantes do certame, quanto ao padrão mínimo de desempenho, qualidade e produtividade exigidos, nos termos do art. 41, inciso I, da Lei nº 14.133/2021.</w:t>
      </w:r>
    </w:p>
    <w:p w14:paraId="6159DEBF"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6.3. Justifica-se a aquisição de materiais de consumo para reposição do estoque do Almoxarifado deste Tribunal de Justiça de Mato Grosso, com a finalidade de garantir a continuidade das atividades administrativas essenciais ao funcionamento das unidades do Tribunal de Justiça, Comarcas e Juizados, em conformidade com o disposto no art. 6º, inciso XXIII, da Lei nº 14.133/2021.</w:t>
      </w:r>
    </w:p>
    <w:p w14:paraId="4FC329CA"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lastRenderedPageBreak/>
        <w:t>6.4. Nesse sentido, o Setor de Almoxarifado realiza o planejamento da reposição do estoque com base no levantamento do consumo necessário ao atendimento das demandas das unidades, considerando a média de consumo dos últimos 12 (doze) meses, de modo a assegurar a manutenção do fluxo regular de materiais pelo período estimado de 12 (doze) meses.</w:t>
      </w:r>
    </w:p>
    <w:p w14:paraId="0D271383"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6.5. Não será permitida a participação de empresas reunidas em consórcio, em razão da baixa complexidade do objeto a ser adquirido, considerando que as empresas que atuam no mercado têm condições de fornecer os bens de forma independente.</w:t>
      </w:r>
    </w:p>
    <w:p w14:paraId="2F2435FF"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7. Sustentabilidade</w:t>
      </w:r>
    </w:p>
    <w:p w14:paraId="1B385453"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7.1. Aplicam-se ao presente processo as disposições estabelecidas na Resolução nº 400/2021 do Conselho Nacional de Justiça – CNJ, que dispõe sobre critérios de sustentabilidade nas contratações de bens e serviços no âmbito do Poder Judiciário. Nesse sentido, destaca-se a opção da Administração pela realização da presente contratação em meio eletrônico, visando à redução do consumo de recursos naturais, especialmente aqueles decorrentes da produção, transporte e descarte de materiais impressos, os quais frequentemente se convertem em resíduos sólidos sem destinação ambientalmente adequada, em conformidade com o disposto no inciso XXIII do art. 6º da Lei nº 14.133/2021.</w:t>
      </w:r>
    </w:p>
    <w:p w14:paraId="5B07C214"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7.2. Além dos critérios de sustentabilidade eventualmente previstos na descrição do objeto, deverão ser observados os requisitos constantes do Guia Nacional de Contratações Sustentáveis, especialmente os seguintes:</w:t>
      </w:r>
    </w:p>
    <w:p w14:paraId="53AD4F82"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7.2.1. A empresa fornecedora deverá promover o desenvolvimento nacional sustentável, adotando critérios e práticas de sustentabilidade, nos termos do art. 4º do Decreto nº 7.746/2012.</w:t>
      </w:r>
    </w:p>
    <w:p w14:paraId="3AD00AB0"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7.2.2. Os bens deverão ser, preferencialmente, acondicionados em embalagens individuais adequadas, com o menor volume possível, utilizando materiais recicláveis, de modo a garantir a proteção durante o transporte e o armazenamento, com redução de impactos ambientais.</w:t>
      </w:r>
    </w:p>
    <w:p w14:paraId="5A36E152"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7.3. Durante a execução contratual, deverão ser observadas as orientações constantes dos programas institucionais da Administração Pública e demais normativos aplicáveis voltados às práticas sustentáveis.</w:t>
      </w:r>
    </w:p>
    <w:p w14:paraId="066EE966"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7.4. Deverão ser atendidos os requisitos mínimos de qualidade, utilidade, resistência, segurança e ergonomia, conforme estabelecido na Resolução CNJ nº 400/2021, na Portaria TJMT/PRES nº 538/2021 e no Plano de Logística Sustentável do TJMT (2021–2026).</w:t>
      </w:r>
    </w:p>
    <w:p w14:paraId="67FCA30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lastRenderedPageBreak/>
        <w:t>7.5. Permanecem igualmente aplicáveis, durante toda a execução do objeto, as diretrizes e orientações relativas às boas práticas ambientais e de sustentabilidade adotadas pela Administração Pública.</w:t>
      </w:r>
    </w:p>
    <w:p w14:paraId="62072D7D" w14:textId="77777777" w:rsidR="003C668B" w:rsidRPr="003C668B" w:rsidRDefault="003C668B" w:rsidP="004A1A3C">
      <w:pPr>
        <w:ind w:right="-518"/>
        <w:jc w:val="both"/>
        <w:rPr>
          <w:rFonts w:ascii="Times New Roman" w:hAnsi="Times New Roman" w:cs="Times New Roman"/>
        </w:rPr>
      </w:pPr>
    </w:p>
    <w:p w14:paraId="48690E78"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8. DA AMOSTRA</w:t>
      </w:r>
    </w:p>
    <w:p w14:paraId="015CE751"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8.1. Havendo o aceite da proposta quanto ao valor, o licitante classificado provisoriamente em primeiro lugar deverá apresentar amostra, cuja data, local e horário serão divulgados por meio de mensagem no sistema, facultada a presença de todos os interessados, inclusive dos demais fornecedores.</w:t>
      </w:r>
    </w:p>
    <w:p w14:paraId="6422BA1B"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8.2. Será exigida amostra do item 7, conforme especificações constantes neste Termo de Referência.</w:t>
      </w:r>
    </w:p>
    <w:p w14:paraId="234A9A0B"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8.3. As amostras deverão ser entregues no endereço indicado no item 11.2, no prazo máximo de 10 (dez) dias, sendo de inteira responsabilidade da empresa o envio e eventuais atrasos.</w:t>
      </w:r>
    </w:p>
    <w:p w14:paraId="00045D16"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8.4. Poderá ser concedida prorrogação do prazo, mediante solicitação fundamentada apresentada no sistema antes do seu término.</w:t>
      </w:r>
    </w:p>
    <w:p w14:paraId="4273B43D"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8.5. A não entrega da amostra, a entrega intempestiva ou em desacordo com as especificações implicará a recusa da proposta, ensejando a apuração de responsabilidade.</w:t>
      </w:r>
    </w:p>
    <w:p w14:paraId="6BD6582F"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8.6. Os resultados das avaliações serão divulgados por meio do sistema eletrônico.</w:t>
      </w:r>
    </w:p>
    <w:p w14:paraId="1901EA7A"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8.7. Caso a amostra do primeiro classificado não seja aprovada, será analisada a do segundo classificado, e assim sucessivamente, até que se encontre amostra compatível com as exigências do Termo de Referência.</w:t>
      </w:r>
    </w:p>
    <w:p w14:paraId="798D1745"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8.8. As amostras serão tratadas como protótipos, podendo ser manuseadas e desmontadas pela equipe técnica, sem direito a ressarcimento.</w:t>
      </w:r>
    </w:p>
    <w:p w14:paraId="34C2A0D0"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 xml:space="preserve">8.9. Após a divulgação do </w:t>
      </w:r>
      <w:proofErr w:type="gramStart"/>
      <w:r w:rsidRPr="003C668B">
        <w:rPr>
          <w:rFonts w:ascii="Times New Roman" w:hAnsi="Times New Roman" w:cs="Times New Roman"/>
        </w:rPr>
        <w:t>resultado final</w:t>
      </w:r>
      <w:proofErr w:type="gramEnd"/>
      <w:r w:rsidRPr="003C668B">
        <w:rPr>
          <w:rFonts w:ascii="Times New Roman" w:hAnsi="Times New Roman" w:cs="Times New Roman"/>
        </w:rPr>
        <w:t>, as amostras deverão ser retiradas no prazo de 10 (dez) dias, sob pena de descarte pela Administração, sem ônus.</w:t>
      </w:r>
    </w:p>
    <w:p w14:paraId="29A01106"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8.10. O fornecedor deverá disponibilizar todos os meios necessários à realização dos testes, bem como fornecer, sem ônus, os manuais em língua portuguesa, quando aplicável.</w:t>
      </w:r>
    </w:p>
    <w:p w14:paraId="7CB9D543"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9. DA SUBCONTRATAÇÃO</w:t>
      </w:r>
    </w:p>
    <w:p w14:paraId="0037737D"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9.1. Não será admitida a subcontratação do objeto.</w:t>
      </w:r>
    </w:p>
    <w:p w14:paraId="6A563788"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lastRenderedPageBreak/>
        <w:t>10. DA GARANTIA</w:t>
      </w:r>
    </w:p>
    <w:p w14:paraId="089D544C"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10.1. Os produtos deverão atender aos prazos de validade previstos em lei. Caso seja necessária substituição por inadequação de uso, o fornecedor terá prazo de 10 (dez) dias, sob pena de multa de 2% ao dia, limitada a 20%.</w:t>
      </w:r>
    </w:p>
    <w:p w14:paraId="16B79B1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10.2. Os produtos deverão possuir validade mínima de 01 (um) ano a contar da data da entrega.</w:t>
      </w:r>
    </w:p>
    <w:p w14:paraId="1CC56CAB"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10.3. Aplica-se à garantia o disposto no Código de Defesa do Consumidor.</w:t>
      </w:r>
    </w:p>
    <w:p w14:paraId="5CE68F25"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11. DO MODELO DE EXECUÇÃO</w:t>
      </w:r>
    </w:p>
    <w:p w14:paraId="140E7308"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11.1. O prazo de entrega será de até 30 (trinta) dias, contados do recebimento da Nota de Empenho.</w:t>
      </w:r>
    </w:p>
    <w:p w14:paraId="095FC5AA"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11.2. Local de entrega: ALMOXARIFADO DO DEPARTAMENTO DE MATERIAL E PATRIMÔNIO -DMP/TJMT – Rua Doutor Hélio Ponce de Arruda, s/n – CPA- Cuiabá/MT CEP:78049-947 – Telefone: (65)3617-3886 – (65)99234-6963</w:t>
      </w:r>
    </w:p>
    <w:p w14:paraId="3A2EB05F"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11.3. Horário: de segunda a sexta-feira, das 13h às 17h.</w:t>
      </w:r>
    </w:p>
    <w:p w14:paraId="2C310D65"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 xml:space="preserve">11.4. A entrega deverá ser previamente comunicada, com antecedência mínima de 48 horas, pelo e-mail: </w:t>
      </w:r>
      <w:hyperlink r:id="rId7" w:history="1">
        <w:r w:rsidRPr="003C668B">
          <w:rPr>
            <w:rStyle w:val="Hyperlink"/>
            <w:rFonts w:ascii="Times New Roman" w:hAnsi="Times New Roman" w:cs="Times New Roman"/>
          </w:rPr>
          <w:t>controle.estoque@tjmt.jus.br</w:t>
        </w:r>
      </w:hyperlink>
    </w:p>
    <w:p w14:paraId="70DBB035"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12. DA GESTÃO DA ATA DE REGISTRO DE PREÇOS</w:t>
      </w:r>
    </w:p>
    <w:p w14:paraId="3703DD43"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12.1. A Ata será executada conforme a Lei nº 14.133/2021, respondendo as partes pelas consequências da inexecução total ou parcial.</w:t>
      </w:r>
    </w:p>
    <w:p w14:paraId="2A4C1E7F"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12.2. As comunicações serão realizadas por escrito, admitido meio eletrônico.</w:t>
      </w:r>
    </w:p>
    <w:p w14:paraId="453AA8BB"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12.3. O órgão poderá convocar representante da empresa para providências imediatas.</w:t>
      </w:r>
    </w:p>
    <w:p w14:paraId="7667E96B"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12.4. A execução será acompanhada por fiscal designado, nos termos do art. 117 da Lei nº 14.133/2021.</w:t>
      </w:r>
    </w:p>
    <w:p w14:paraId="0B72A5C3"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12. Das Obrigações do Órgão Gerenciador</w:t>
      </w:r>
    </w:p>
    <w:p w14:paraId="484DCEEE"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12.1. Solicitar o empenho, fazendo constar, de forma clara e precisa, a descrição do item a ser adquirido.</w:t>
      </w:r>
    </w:p>
    <w:p w14:paraId="6C0856ED"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12.2. O quantitativo mínimo dos itens a serem empenhados deverá corresponder a, no mínimo, 20% (vinte por cento) do quantitativo registrado na Ata de Registro de Preços – ARP.</w:t>
      </w:r>
    </w:p>
    <w:p w14:paraId="16FBB378"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12.3. Receber, conferir e atestar os materiais licitados/adquiridos, observando sua conformidade com as especificações estabelecidas.</w:t>
      </w:r>
    </w:p>
    <w:p w14:paraId="5120AF53"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lastRenderedPageBreak/>
        <w:t>12.4. Atestar o documento fiscal, o qual deverá estar devidamente instruído com as certidões fiscais exigidas.</w:t>
      </w:r>
    </w:p>
    <w:p w14:paraId="6DF2EDD9"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12.5. Disponibilizar local adequado para o recebimento e a guarda dos produtos.</w:t>
      </w:r>
    </w:p>
    <w:p w14:paraId="1B9B90D9"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12.6. Comunicar formalmente à empresa contratada acerca de eventuais irregularidades constatadas na entrega dos materiais, para imediata correção.</w:t>
      </w:r>
    </w:p>
    <w:p w14:paraId="3A10A7C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12.7. Fiscalizar o cumprimento das obrigações contratuais assumidas pelo fornecedor, nos termos da legislação vigente.</w:t>
      </w:r>
    </w:p>
    <w:p w14:paraId="2C015A0E"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13. Das Obrigações do Fornecedor</w:t>
      </w:r>
    </w:p>
    <w:p w14:paraId="4AE89FFB"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13.1. Cumprir integralmente todas as obrigações constantes no Edital, neste Termo de Referência e na Ata de Registro de Preços.</w:t>
      </w:r>
    </w:p>
    <w:p w14:paraId="594E324E"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13.2. Entregar os objetos licitados em perfeitas condições no Almoxarifado do Departamento de Material e Patrimônio – DMP/TJMT, deste Tribunal de Justiça, acompanhados da respectiva nota fiscal, mediante prévio agendamento de data e horário, de modo a não ocasionar transtornos às atividades rotineiras do setor.</w:t>
      </w:r>
    </w:p>
    <w:p w14:paraId="27ECB72D"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13.3. Caso o fornecedor deseje solicitar prorrogação de prazo de entrega ou substituição de marca, deverá fazê-lo no prazo máximo de 10 (dez) dias corridos, contados do recebimento da Nota de Empenho, sob pena de indeferimento do pedido e aplicação das penalidades cabíveis.</w:t>
      </w:r>
      <w:r w:rsidRPr="003C668B">
        <w:rPr>
          <w:rFonts w:ascii="Times New Roman" w:hAnsi="Times New Roman" w:cs="Times New Roman"/>
        </w:rPr>
        <w:br/>
        <w:t>Parágrafo único. O pedido deverá ser devidamente fundamentado e acompanhado de documentação comprobatória.</w:t>
      </w:r>
    </w:p>
    <w:p w14:paraId="3F3BEED9"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13.4. Os pedidos de prorrogação de prazo e de troca de marca somente serão atendidos mediante autorização expressa do Ordenador de Despesas.</w:t>
      </w:r>
    </w:p>
    <w:p w14:paraId="7946C8D4"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13.5. Manter regularidade fiscal durante toda a vigência da contratação, mediante apresentação das certidões negativas ou positivas com efeito de negativas:</w:t>
      </w:r>
      <w:r w:rsidRPr="003C668B">
        <w:rPr>
          <w:rFonts w:ascii="Times New Roman" w:hAnsi="Times New Roman" w:cs="Times New Roman"/>
        </w:rPr>
        <w:br/>
        <w:t>a) FGTS;</w:t>
      </w:r>
    </w:p>
    <w:p w14:paraId="2B93709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b) Fazenda Federal;</w:t>
      </w:r>
    </w:p>
    <w:p w14:paraId="52532932"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c) Fazenda Estadual;</w:t>
      </w:r>
    </w:p>
    <w:p w14:paraId="5B6042EC"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d) Fazenda Municipal;</w:t>
      </w:r>
    </w:p>
    <w:p w14:paraId="16F436D2"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e) Justiça do Trabalho.</w:t>
      </w:r>
    </w:p>
    <w:p w14:paraId="31E7DD06"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lastRenderedPageBreak/>
        <w:t>13.6. Cumprir rigorosamente os prazos de entrega, sob pena de aplicação das sanções administrativas previstas.</w:t>
      </w:r>
    </w:p>
    <w:p w14:paraId="2716F4A4"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13.7. Executar fielmente o fornecimento, realizando a entrega dos produtos nas quantidades pactuadas e em conformidade com as especificações constantes neste Termo de Referência.</w:t>
      </w:r>
    </w:p>
    <w:p w14:paraId="36B3F9AA"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13.8. Manter, durante toda a vigência da Ata de Registro de Preços, as condições de habilitação e qualificação exigidas no certame.</w:t>
      </w:r>
    </w:p>
    <w:p w14:paraId="317DD08A"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13.9. Assumir integral responsabilidade por eventuais defeitos nos produtos fornecidos, arcando com todos os ônus decorrentes da substituição e garantindo a perfeita execução das obrigações assumidas.</w:t>
      </w:r>
    </w:p>
    <w:p w14:paraId="42B6198C"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13.10. Informar imediatamente ao órgão gerenciador quaisquer alterações em seus dados cadastrais, tais como endereço, telefone, e-mail ou representantes legais, que possam impactar a comunicação entre as partes.</w:t>
      </w:r>
    </w:p>
    <w:p w14:paraId="5EFEDA69"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13.11. Responder por todo e qualquer prejuízo causado à Administração em decorrência do descumprimento contratual.</w:t>
      </w:r>
    </w:p>
    <w:p w14:paraId="720DE414"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13.12. Na hipótese de pedido de prorrogação de prazo, caso a solicitação não seja apreciada até o término do prazo originalmente concedido, contado do recebimento do pedido pelo Fiscal da Ata ou pela área demandante, ficará automaticamente prorrogado o prazo por mais 30 (trinta) dias corridos, exclusivamente para fins de entrega do objeto.</w:t>
      </w:r>
    </w:p>
    <w:p w14:paraId="19F3CFB9"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13.13. Caso não sejam apresentados os documentos necessários à análise do pedido, este poderá ser indeferido e, sendo confirmado o indeferimento pelo Ordenador de Despesas, a aplicação das penalidades ocorrerá a partir do prazo originalmente fixado neste Termo de Referência</w:t>
      </w:r>
    </w:p>
    <w:p w14:paraId="3974BACF"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14. Das Infrações Administrativas</w:t>
      </w:r>
    </w:p>
    <w:p w14:paraId="4E2F5F6E"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Nos termos do art. 155 da Lei nº 14.133/2021, comete infração administrativa o licitante ou contratado que:</w:t>
      </w:r>
    </w:p>
    <w:p w14:paraId="0A6CDCB3"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I–</w:t>
      </w:r>
      <w:proofErr w:type="gramStart"/>
      <w:r w:rsidRPr="003C668B">
        <w:rPr>
          <w:rFonts w:ascii="Times New Roman" w:hAnsi="Times New Roman" w:cs="Times New Roman"/>
        </w:rPr>
        <w:t>der</w:t>
      </w:r>
      <w:proofErr w:type="gramEnd"/>
      <w:r w:rsidRPr="003C668B">
        <w:rPr>
          <w:rFonts w:ascii="Times New Roman" w:hAnsi="Times New Roman" w:cs="Times New Roman"/>
        </w:rPr>
        <w:t xml:space="preserve"> causa à inexecução parcial ou total da Ata de Registro de Preços;</w:t>
      </w:r>
      <w:r w:rsidRPr="003C668B">
        <w:rPr>
          <w:rFonts w:ascii="Times New Roman" w:hAnsi="Times New Roman" w:cs="Times New Roman"/>
        </w:rPr>
        <w:br/>
        <w:t>II – der causa à inexecução parcial que cause grave dano à Administração, ao funcionamento dos</w:t>
      </w:r>
    </w:p>
    <w:p w14:paraId="0D5B7B6C"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serviços públicos ou ao interesse coletivo;</w:t>
      </w:r>
    </w:p>
    <w:p w14:paraId="099AA126"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III – deixar de entregar a documentação exigida para o certame;</w:t>
      </w:r>
      <w:r w:rsidRPr="003C668B">
        <w:rPr>
          <w:rFonts w:ascii="Times New Roman" w:hAnsi="Times New Roman" w:cs="Times New Roman"/>
        </w:rPr>
        <w:br/>
        <w:t>IV – não mantiver a proposta, salvo por motivo devidamente justificado e aceito pela Administração;</w:t>
      </w:r>
      <w:r w:rsidRPr="003C668B">
        <w:rPr>
          <w:rFonts w:ascii="Times New Roman" w:hAnsi="Times New Roman" w:cs="Times New Roman"/>
        </w:rPr>
        <w:br/>
      </w:r>
      <w:r w:rsidRPr="003C668B">
        <w:rPr>
          <w:rFonts w:ascii="Times New Roman" w:hAnsi="Times New Roman" w:cs="Times New Roman"/>
        </w:rPr>
        <w:lastRenderedPageBreak/>
        <w:t>V – não celebrar a Ata de Registro de Preços ou não entregar a documentação exigida para a contratação, quando convocado dentro do prazo de validade da proposta;</w:t>
      </w:r>
      <w:r w:rsidRPr="003C668B">
        <w:rPr>
          <w:rFonts w:ascii="Times New Roman" w:hAnsi="Times New Roman" w:cs="Times New Roman"/>
        </w:rPr>
        <w:br/>
        <w:t>VI – ensejar o retardamento da execução ou da entrega do objeto da licitação, sem motivo justificado;</w:t>
      </w:r>
      <w:r w:rsidRPr="003C668B">
        <w:rPr>
          <w:rFonts w:ascii="Times New Roman" w:hAnsi="Times New Roman" w:cs="Times New Roman"/>
        </w:rPr>
        <w:br/>
        <w:t>VII – apresentar declaração ou documentação falsa exigida para o certame ou prestar declaração falsa durante a licitação ou execução da Ata;</w:t>
      </w:r>
      <w:r w:rsidRPr="003C668B">
        <w:rPr>
          <w:rFonts w:ascii="Times New Roman" w:hAnsi="Times New Roman" w:cs="Times New Roman"/>
        </w:rPr>
        <w:br/>
        <w:t>VIII – fraudar a licitação ou praticar ato fraudulento na execução da Ata de Registro de Preços;</w:t>
      </w:r>
      <w:r w:rsidRPr="003C668B">
        <w:rPr>
          <w:rFonts w:ascii="Times New Roman" w:hAnsi="Times New Roman" w:cs="Times New Roman"/>
        </w:rPr>
        <w:br/>
        <w:t>IX – comportar-se de modo inidôneo ou cometer fraude de qualquer natureza;</w:t>
      </w:r>
      <w:r w:rsidRPr="003C668B">
        <w:rPr>
          <w:rFonts w:ascii="Times New Roman" w:hAnsi="Times New Roman" w:cs="Times New Roman"/>
        </w:rPr>
        <w:br/>
        <w:t>X – praticar atos ilícitos com vistas a frustrar os objetivos da licitação;</w:t>
      </w:r>
      <w:r w:rsidRPr="003C668B">
        <w:rPr>
          <w:rFonts w:ascii="Times New Roman" w:hAnsi="Times New Roman" w:cs="Times New Roman"/>
        </w:rPr>
        <w:br/>
        <w:t>XI – praticar ato lesivo previsto no art. 5º da Lei nº 12.846/2013.</w:t>
      </w:r>
    </w:p>
    <w:p w14:paraId="0C24EA2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15. Das Penalidades Aplicáveis</w:t>
      </w:r>
    </w:p>
    <w:p w14:paraId="7F37883F"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Nos termos do art. 156 da Lei nº 14.133/2021, garantidos o contraditório e a ampla defesa, poderão ser aplicadas ao fornecedor as seguintes sanções, de forma isolada ou cumulativa:</w:t>
      </w:r>
    </w:p>
    <w:p w14:paraId="1072CDEE"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I Advertência;</w:t>
      </w:r>
    </w:p>
    <w:p w14:paraId="1F52CC73"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II Multa</w:t>
      </w:r>
    </w:p>
    <w:p w14:paraId="467A18F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III Impedimento de licitar e contratar com o Poder Público;</w:t>
      </w:r>
    </w:p>
    <w:p w14:paraId="551C969E"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IV Declaração de inidoneidade para licitar ou contratar</w:t>
      </w:r>
    </w:p>
    <w:p w14:paraId="44CB11E6"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16. DA ADVERTÊNCIA</w:t>
      </w:r>
    </w:p>
    <w:p w14:paraId="3D7A90FA"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16.1 A sanção de advertência será aplicada nos casos de inexecução parcial da obrigação, desde que:</w:t>
      </w:r>
    </w:p>
    <w:p w14:paraId="22189A4B"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I Não compromete o regular andamento de serviço;</w:t>
      </w:r>
    </w:p>
    <w:p w14:paraId="24E3F010"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II Não cause prejuízo à Administração;</w:t>
      </w:r>
    </w:p>
    <w:p w14:paraId="577D4DDC"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III A Advertência será aplicada nos termos do § 2º do art. 156 da Lei n°14.133/2021</w:t>
      </w:r>
    </w:p>
    <w:p w14:paraId="7D20C5AA"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17. DA MULTA</w:t>
      </w:r>
    </w:p>
    <w:p w14:paraId="6D4BF54E"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17.1. Disposições Gerais</w:t>
      </w:r>
    </w:p>
    <w:p w14:paraId="160E9691"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17.1.1. A multa poderá ser aplicada de forma moratória ou compensatória, conforme o caso, observando-se os limites do art. 156, § 3º, da Lei nº 14.133/2021, não podendo ser inferior a 0,5% (meio por cento) nem superior a 30% (trinta por cento).</w:t>
      </w:r>
    </w:p>
    <w:p w14:paraId="48B2FB70"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17.2. Multa Moratória</w:t>
      </w:r>
    </w:p>
    <w:p w14:paraId="1564CB76"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lastRenderedPageBreak/>
        <w:t>17.2.1. Será aplicada multa de 1% (um por cento) por dia de atraso, incidente sobre o valor da Nota de Empenho, limitada a 30 (trinta) dias, quando houver atraso injustificado na entrega do objeto.</w:t>
      </w:r>
    </w:p>
    <w:p w14:paraId="56DE2430"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17.2.2. Após o 30º (trigésimo) dia de atraso, o descumprimento será considerado inexecução total.</w:t>
      </w:r>
    </w:p>
    <w:p w14:paraId="231F39BA"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17.3. Multa por Atraso Parcial</w:t>
      </w:r>
    </w:p>
    <w:p w14:paraId="7FF66ACF"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17.3.1. Aplicar-se-á multa de 2% (dois por cento) ao dia, limitada a 20% (vinte por cento) do valor do objeto, nos casos de atraso injustificado de até 5 (cinco) dias:</w:t>
      </w:r>
    </w:p>
    <w:p w14:paraId="2B6C8A0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I na entrega do objeto;</w:t>
      </w:r>
      <w:r w:rsidRPr="003C668B">
        <w:rPr>
          <w:rFonts w:ascii="Times New Roman" w:hAnsi="Times New Roman" w:cs="Times New Roman"/>
        </w:rPr>
        <w:br/>
        <w:t>II – na substituição de material recusado.</w:t>
      </w:r>
    </w:p>
    <w:p w14:paraId="7DF7E7B6"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17.4. Multa por Inexecução Parcial</w:t>
      </w:r>
    </w:p>
    <w:p w14:paraId="2A8121A9"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17.4.1. Será aplicada multa de 10% (dez por cento) sobre o valor da obrigação pendente, nos casos de:</w:t>
      </w:r>
    </w:p>
    <w:p w14:paraId="36F523A4"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I - Entregar parcial do objeto;</w:t>
      </w:r>
      <w:r w:rsidRPr="003C668B">
        <w:rPr>
          <w:rFonts w:ascii="Times New Roman" w:hAnsi="Times New Roman" w:cs="Times New Roman"/>
        </w:rPr>
        <w:br/>
        <w:t>II – não substituição de material recusado ou com vício;</w:t>
      </w:r>
      <w:r w:rsidRPr="003C668B">
        <w:rPr>
          <w:rFonts w:ascii="Times New Roman" w:hAnsi="Times New Roman" w:cs="Times New Roman"/>
        </w:rPr>
        <w:br/>
        <w:t>III – entrega de material defeituoso, danificado ou incompleto;</w:t>
      </w:r>
      <w:r w:rsidRPr="003C668B">
        <w:rPr>
          <w:rFonts w:ascii="Times New Roman" w:hAnsi="Times New Roman" w:cs="Times New Roman"/>
        </w:rPr>
        <w:br/>
        <w:t>IV – demais hipóteses de inexecução parcial da Ata de Registro de Preços.</w:t>
      </w:r>
    </w:p>
    <w:p w14:paraId="75651CD9"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17.5. Multa por Inexecução Total</w:t>
      </w:r>
    </w:p>
    <w:p w14:paraId="43109B9B"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17.5.1. Será aplicada multa de 20% (vinte por cento) sobre o valor total da Nota de Empenho, nos casos de:</w:t>
      </w:r>
    </w:p>
    <w:p w14:paraId="6F2E5D00"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 xml:space="preserve">I – </w:t>
      </w:r>
      <w:proofErr w:type="gramStart"/>
      <w:r w:rsidRPr="003C668B">
        <w:rPr>
          <w:rFonts w:ascii="Times New Roman" w:hAnsi="Times New Roman" w:cs="Times New Roman"/>
        </w:rPr>
        <w:t>recusa</w:t>
      </w:r>
      <w:proofErr w:type="gramEnd"/>
      <w:r w:rsidRPr="003C668B">
        <w:rPr>
          <w:rFonts w:ascii="Times New Roman" w:hAnsi="Times New Roman" w:cs="Times New Roman"/>
        </w:rPr>
        <w:t xml:space="preserve"> injustificada em iniciar a entrega;</w:t>
      </w:r>
      <w:r w:rsidRPr="003C668B">
        <w:rPr>
          <w:rFonts w:ascii="Times New Roman" w:hAnsi="Times New Roman" w:cs="Times New Roman"/>
        </w:rPr>
        <w:br/>
        <w:t>II – recusa injustificada em entregar a totalidade dos objetos;</w:t>
      </w:r>
      <w:r w:rsidRPr="003C668B">
        <w:rPr>
          <w:rFonts w:ascii="Times New Roman" w:hAnsi="Times New Roman" w:cs="Times New Roman"/>
        </w:rPr>
        <w:br/>
        <w:t>III – demais hipóteses de inexecução total.</w:t>
      </w:r>
    </w:p>
    <w:p w14:paraId="60B2C514"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17.5.2. No caso de inexecução total da Ata de Registro de Preços, poderá ser aplicada multa de até 30% (trinta por cento) do valor global da Ata.</w:t>
      </w:r>
    </w:p>
    <w:p w14:paraId="453F88AD"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18. DO IMPEDIMENTO DE LICITAR E CONTRATAR</w:t>
      </w:r>
    </w:p>
    <w:p w14:paraId="316B2AB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18.1. Será aplicada a sanção de impedimento de licitar e contratar com o Poder Judiciário do Estado de Mato Grosso, pelo prazo máximo de 3 (três) anos, ao responsável pelas infrações previstas nos itens 13.2 a 17.7, quando não couber penalidade mais grave, nos termos do art. 156, inciso III, da Lei nº 14.133/2021</w:t>
      </w:r>
    </w:p>
    <w:p w14:paraId="77528E76"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lastRenderedPageBreak/>
        <w:t>18. Da Declaração de Inidoneidade para Licitar ou Contratar</w:t>
      </w:r>
    </w:p>
    <w:p w14:paraId="353038DB"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 xml:space="preserve">18.1. </w:t>
      </w:r>
      <w:bookmarkStart w:id="1" w:name="_Hlk220517227"/>
      <w:r w:rsidRPr="003C668B">
        <w:rPr>
          <w:rFonts w:ascii="Times New Roman" w:hAnsi="Times New Roman" w:cs="Times New Roman"/>
        </w:rPr>
        <w:t xml:space="preserve">A declaração de inidoneidade para licitar ou contratar com a Administração Pública direta e indireta de todos os entes federativos será aplicada ao responsável pelas infrações </w:t>
      </w:r>
      <w:bookmarkEnd w:id="1"/>
      <w:r w:rsidRPr="003C668B">
        <w:rPr>
          <w:rFonts w:ascii="Times New Roman" w:hAnsi="Times New Roman" w:cs="Times New Roman"/>
        </w:rPr>
        <w:t>administrativas previstas nos subitens 13.8 a 13.11, bem como pelas infrações que justifiquem a imposição de penalidade mais grave que a prevista no item 16.1 deste Termo de Referência, pelo prazo mínimo de 03 (três) anos e máximo de 06 (seis) anos.</w:t>
      </w:r>
    </w:p>
    <w:p w14:paraId="16020A4B"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18.2. A aplicação das penalidades será precedida da concessão do contraditório e da ampla defesa, nos termos da legislação vigente.</w:t>
      </w:r>
    </w:p>
    <w:p w14:paraId="6751A5D4"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18.3. Para fins de publicidade, as penalidades aplicadas serão registradas no:</w:t>
      </w:r>
    </w:p>
    <w:p w14:paraId="425393E7" w14:textId="77777777" w:rsidR="003C668B" w:rsidRPr="003C668B" w:rsidRDefault="003C668B" w:rsidP="004A1A3C">
      <w:pPr>
        <w:numPr>
          <w:ilvl w:val="0"/>
          <w:numId w:val="2"/>
        </w:numPr>
        <w:ind w:right="-518"/>
        <w:jc w:val="both"/>
        <w:rPr>
          <w:rFonts w:ascii="Times New Roman" w:hAnsi="Times New Roman" w:cs="Times New Roman"/>
        </w:rPr>
      </w:pPr>
      <w:r w:rsidRPr="003C668B">
        <w:rPr>
          <w:rFonts w:ascii="Times New Roman" w:hAnsi="Times New Roman" w:cs="Times New Roman"/>
        </w:rPr>
        <w:t>Cadastro Nacional de Empresas Inidôneas e Suspensas – CEIS;</w:t>
      </w:r>
    </w:p>
    <w:p w14:paraId="1B5DCF40" w14:textId="77777777" w:rsidR="003C668B" w:rsidRPr="003C668B" w:rsidRDefault="003C668B" w:rsidP="004A1A3C">
      <w:pPr>
        <w:numPr>
          <w:ilvl w:val="0"/>
          <w:numId w:val="2"/>
        </w:numPr>
        <w:ind w:right="-518"/>
        <w:jc w:val="both"/>
        <w:rPr>
          <w:rFonts w:ascii="Times New Roman" w:hAnsi="Times New Roman" w:cs="Times New Roman"/>
        </w:rPr>
      </w:pPr>
      <w:r w:rsidRPr="003C668B">
        <w:rPr>
          <w:rFonts w:ascii="Times New Roman" w:hAnsi="Times New Roman" w:cs="Times New Roman"/>
        </w:rPr>
        <w:t>Cadastro Nacional de Empresas Punidas – CNEP;</w:t>
      </w:r>
    </w:p>
    <w:p w14:paraId="78E484EA" w14:textId="77777777" w:rsidR="003C668B" w:rsidRPr="003C668B" w:rsidRDefault="003C668B" w:rsidP="004A1A3C">
      <w:pPr>
        <w:numPr>
          <w:ilvl w:val="0"/>
          <w:numId w:val="2"/>
        </w:numPr>
        <w:ind w:right="-518"/>
        <w:jc w:val="both"/>
        <w:rPr>
          <w:rFonts w:ascii="Times New Roman" w:hAnsi="Times New Roman" w:cs="Times New Roman"/>
        </w:rPr>
      </w:pPr>
      <w:r w:rsidRPr="003C668B">
        <w:rPr>
          <w:rFonts w:ascii="Times New Roman" w:hAnsi="Times New Roman" w:cs="Times New Roman"/>
        </w:rPr>
        <w:t>Sistema de Cadastramento Unificado de Fornecedores – SICAF.</w:t>
      </w:r>
    </w:p>
    <w:p w14:paraId="71CC0DD3"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18.4. Configura infração administrativa a prática de ato lesivo previsto no art. 5º da Lei nº 12.846, de 1º de agosto de 2013.</w:t>
      </w:r>
    </w:p>
    <w:p w14:paraId="3C3B4B91"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19. Da Fiscalização Administrativa</w:t>
      </w:r>
    </w:p>
    <w:p w14:paraId="49CED384"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19.1. O fiscal administrativo da Ata de Registro de Preços acompanhará a manutenção das condições de habilitação do fornecedor, o empenho, o pagamento, as garantias, as glosas e a formalização de apostilamentos e termos aditivos, podendo solicitar documentos comprobatórios, conforme o art. 23, incisos I e II, do Decreto nº 11.246/2022.</w:t>
      </w:r>
    </w:p>
    <w:p w14:paraId="1E9540A1"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19.2. Havendo descumprimento contratual, o fiscal deverá adotar as providências cabíveis e comunicar o gestor da Ata quando ultrapassar sua competência, nos termos do art. 23, inciso IV, do Decreto nº 11.246/2022.</w:t>
      </w:r>
    </w:p>
    <w:p w14:paraId="5EDD1383"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20. Dos Critérios de Medição e Pagamento</w:t>
      </w:r>
    </w:p>
    <w:p w14:paraId="62427D2D"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20.1. Recebimento</w:t>
      </w:r>
    </w:p>
    <w:p w14:paraId="2BC9197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20.2. Os bens serão recebidos provisoriamente, no ato da entrega, mediante apresentação da nota fiscal ou instrumento equivalente, para posterior verificação de conformidade com o Termo de Referência e a proposta.</w:t>
      </w:r>
    </w:p>
    <w:p w14:paraId="5CE2B635"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lastRenderedPageBreak/>
        <w:t>20.3. Os bens poderão ser rejeitados, total ou parcialmente, quando em desacordo com as especificações, devendo ser substituídos no prazo de até 15 (quinze) dias, às expensas do fornecedor, sem prejuízo das penalidades cabíveis.</w:t>
      </w:r>
    </w:p>
    <w:p w14:paraId="0074F024"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20.4. O recebimento definitivo ocorrerá em até 10 (dez) dias úteis, após a verificação da conformidade do material e emissão do termo de recebimento definitivo.</w:t>
      </w:r>
    </w:p>
    <w:p w14:paraId="212D433C"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20.5. Para aquisições cujo valor se enquadre no art. 75, inciso II, da Lei nº 14.133/2021, o prazo máximo para recebimento definitivo será de até 15 (quinze) dias úteis.</w:t>
      </w:r>
    </w:p>
    <w:p w14:paraId="60792A70"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20.6. O prazo poderá ser prorrogado, de forma justificada, por igual período, quando necessárias diligências para verificação do atendimento contratual.</w:t>
      </w:r>
    </w:p>
    <w:p w14:paraId="235E07A2"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20.7. Havendo controvérsia quanto à execução, será observado o art. 143 da Lei nº 14.133/2021, com pagamento da parcela incontroversa.</w:t>
      </w:r>
    </w:p>
    <w:p w14:paraId="69579416"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20.8. O prazo para saneamento de inconsistências não será computado para fins de recebimento definitivo.</w:t>
      </w:r>
    </w:p>
    <w:p w14:paraId="5FD8FFB5"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20.9. O recebimento provisório ou definitivo não exclui a responsabilidade civil, técnica e administrativa do fornecedor.</w:t>
      </w:r>
    </w:p>
    <w:p w14:paraId="22D6BC4A"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21. Da Liquidação da Despesa</w:t>
      </w:r>
    </w:p>
    <w:p w14:paraId="23022E30"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21.1. O prazo para liquidação será de até 30 (trinta) dias úteis, contados do recebimento da nota fiscal, prorrogável por igual período, nos termos da IN SEGES/ME nº 77/2022.</w:t>
      </w:r>
    </w:p>
    <w:p w14:paraId="25B2AFF8"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21.2. Para despesas de pequeno valor (art. 75, II, da Lei nº 14.133/2021), o prazo será reduzido à metade.</w:t>
      </w:r>
    </w:p>
    <w:p w14:paraId="5315905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21.3. Para fins de liquidação, a nota fiscal deverá conter:</w:t>
      </w:r>
    </w:p>
    <w:p w14:paraId="7D4F2BE0" w14:textId="77777777" w:rsidR="003C668B" w:rsidRPr="003C668B" w:rsidRDefault="003C668B" w:rsidP="004A1A3C">
      <w:pPr>
        <w:numPr>
          <w:ilvl w:val="0"/>
          <w:numId w:val="3"/>
        </w:numPr>
        <w:ind w:right="-518"/>
        <w:jc w:val="both"/>
        <w:rPr>
          <w:rFonts w:ascii="Times New Roman" w:hAnsi="Times New Roman" w:cs="Times New Roman"/>
        </w:rPr>
      </w:pPr>
      <w:r w:rsidRPr="003C668B">
        <w:rPr>
          <w:rFonts w:ascii="Times New Roman" w:hAnsi="Times New Roman" w:cs="Times New Roman"/>
        </w:rPr>
        <w:t>prazo de validade;</w:t>
      </w:r>
    </w:p>
    <w:p w14:paraId="61531B25" w14:textId="77777777" w:rsidR="003C668B" w:rsidRPr="003C668B" w:rsidRDefault="003C668B" w:rsidP="004A1A3C">
      <w:pPr>
        <w:numPr>
          <w:ilvl w:val="0"/>
          <w:numId w:val="3"/>
        </w:numPr>
        <w:ind w:right="-518"/>
        <w:jc w:val="both"/>
        <w:rPr>
          <w:rFonts w:ascii="Times New Roman" w:hAnsi="Times New Roman" w:cs="Times New Roman"/>
        </w:rPr>
      </w:pPr>
      <w:r w:rsidRPr="003C668B">
        <w:rPr>
          <w:rFonts w:ascii="Times New Roman" w:hAnsi="Times New Roman" w:cs="Times New Roman"/>
        </w:rPr>
        <w:t>data de emissão;</w:t>
      </w:r>
    </w:p>
    <w:p w14:paraId="4C455480" w14:textId="77777777" w:rsidR="003C668B" w:rsidRPr="003C668B" w:rsidRDefault="003C668B" w:rsidP="004A1A3C">
      <w:pPr>
        <w:numPr>
          <w:ilvl w:val="0"/>
          <w:numId w:val="3"/>
        </w:numPr>
        <w:ind w:right="-518"/>
        <w:jc w:val="both"/>
        <w:rPr>
          <w:rFonts w:ascii="Times New Roman" w:hAnsi="Times New Roman" w:cs="Times New Roman"/>
        </w:rPr>
      </w:pPr>
      <w:r w:rsidRPr="003C668B">
        <w:rPr>
          <w:rFonts w:ascii="Times New Roman" w:hAnsi="Times New Roman" w:cs="Times New Roman"/>
        </w:rPr>
        <w:t>dados da Ata de Registro de Preços;</w:t>
      </w:r>
    </w:p>
    <w:p w14:paraId="1AC78838" w14:textId="77777777" w:rsidR="003C668B" w:rsidRPr="003C668B" w:rsidRDefault="003C668B" w:rsidP="004A1A3C">
      <w:pPr>
        <w:numPr>
          <w:ilvl w:val="0"/>
          <w:numId w:val="3"/>
        </w:numPr>
        <w:ind w:right="-518"/>
        <w:jc w:val="both"/>
        <w:rPr>
          <w:rFonts w:ascii="Times New Roman" w:hAnsi="Times New Roman" w:cs="Times New Roman"/>
        </w:rPr>
      </w:pPr>
      <w:r w:rsidRPr="003C668B">
        <w:rPr>
          <w:rFonts w:ascii="Times New Roman" w:hAnsi="Times New Roman" w:cs="Times New Roman"/>
        </w:rPr>
        <w:t>período de execução;</w:t>
      </w:r>
    </w:p>
    <w:p w14:paraId="73C19E63" w14:textId="77777777" w:rsidR="003C668B" w:rsidRPr="003C668B" w:rsidRDefault="003C668B" w:rsidP="004A1A3C">
      <w:pPr>
        <w:numPr>
          <w:ilvl w:val="0"/>
          <w:numId w:val="3"/>
        </w:numPr>
        <w:ind w:right="-518"/>
        <w:jc w:val="both"/>
        <w:rPr>
          <w:rFonts w:ascii="Times New Roman" w:hAnsi="Times New Roman" w:cs="Times New Roman"/>
        </w:rPr>
      </w:pPr>
      <w:r w:rsidRPr="003C668B">
        <w:rPr>
          <w:rFonts w:ascii="Times New Roman" w:hAnsi="Times New Roman" w:cs="Times New Roman"/>
        </w:rPr>
        <w:t>valor devido;</w:t>
      </w:r>
    </w:p>
    <w:p w14:paraId="65E63832" w14:textId="77777777" w:rsidR="003C668B" w:rsidRPr="003C668B" w:rsidRDefault="003C668B" w:rsidP="004A1A3C">
      <w:pPr>
        <w:numPr>
          <w:ilvl w:val="0"/>
          <w:numId w:val="3"/>
        </w:numPr>
        <w:ind w:right="-518"/>
        <w:jc w:val="both"/>
        <w:rPr>
          <w:rFonts w:ascii="Times New Roman" w:hAnsi="Times New Roman" w:cs="Times New Roman"/>
        </w:rPr>
      </w:pPr>
      <w:r w:rsidRPr="003C668B">
        <w:rPr>
          <w:rFonts w:ascii="Times New Roman" w:hAnsi="Times New Roman" w:cs="Times New Roman"/>
        </w:rPr>
        <w:t>eventuais retenções tributárias.</w:t>
      </w:r>
    </w:p>
    <w:p w14:paraId="4C06B64C"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21.4. Havendo erro ou irregularidade, o pagamento ficará suspenso até a regularização.</w:t>
      </w:r>
    </w:p>
    <w:p w14:paraId="388C5D2C"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lastRenderedPageBreak/>
        <w:t>21.5. A nota fiscal deverá estar acompanhada de comprovação de regularidade fiscal, mediante consulta ao SICAF.</w:t>
      </w:r>
    </w:p>
    <w:p w14:paraId="7BDF3979"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21.6. Constatada irregularidade fiscal, o fornecedor será notificado para regularização no prazo de 5 (cinco) dias úteis, prorrogável uma única vez.</w:t>
      </w:r>
    </w:p>
    <w:p w14:paraId="3DACC4A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21.7. Persistindo a irregularidade, serão adotadas as medidas legais cabíveis, inclusive rescisão contratual.</w:t>
      </w:r>
    </w:p>
    <w:p w14:paraId="28011183"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22. Do Prazo de Pagamento</w:t>
      </w:r>
    </w:p>
    <w:p w14:paraId="4C099612"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22.1. O pagamento será efetuado em até 10 (dez) dias úteis após a liquidação da despesa.</w:t>
      </w:r>
    </w:p>
    <w:p w14:paraId="26CF1552"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22.2. Em caso de atraso, os valores serão atualizados pelo INPC, desde o vencimento até o efetivo pagamento.</w:t>
      </w:r>
    </w:p>
    <w:p w14:paraId="7171AA07"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23. Da Forma de Pagamento</w:t>
      </w:r>
    </w:p>
    <w:p w14:paraId="3094B412"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23.1. O pagamento será realizado por ordem bancária, em conta indicada pelo fornecedor.</w:t>
      </w:r>
    </w:p>
    <w:p w14:paraId="53CCF52C"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23.2. Considera-se data de pagamento aquela da emissão da ordem bancária.</w:t>
      </w:r>
    </w:p>
    <w:p w14:paraId="78E682A1"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23.3. Serão realizadas as retenções tributárias previstas em lei.</w:t>
      </w:r>
    </w:p>
    <w:p w14:paraId="3E2E5F09"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23.4. Fornecedor optante pelo Simples Nacional deverá comprovar tal condição para fins de não retenção, nos termos da LC nº 123/2006.</w:t>
      </w:r>
    </w:p>
    <w:p w14:paraId="1400C28D"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24. Da Forma de Seleção</w:t>
      </w:r>
    </w:p>
    <w:p w14:paraId="7C344C5F"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23.1. A seleção ocorrerá por Pregão Eletrônico, com critério de julgamento menor preço.</w:t>
      </w:r>
    </w:p>
    <w:p w14:paraId="7D62DEB4"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24. Da Forma de Fornecimento</w:t>
      </w:r>
    </w:p>
    <w:p w14:paraId="5506ABE1"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24.1. O fornecimento será realizado de forma parcelada.</w:t>
      </w:r>
    </w:p>
    <w:p w14:paraId="7BFCC6C1"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25. Das Exigências da Habilitação</w:t>
      </w:r>
    </w:p>
    <w:p w14:paraId="2B61C929"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25.1. Pessoa física: cédula de identidade (RG) ou documento equivalente que, por força de lei, tenha validade para fins de identificação em todo o território nacional.</w:t>
      </w:r>
    </w:p>
    <w:p w14:paraId="616EE4DD"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25.2. Empresário individual: inscrição no Registro Público de Empresas Mercantis, a cargo da Junta Comercial da respectiva sede.</w:t>
      </w:r>
    </w:p>
    <w:p w14:paraId="764ECA3F"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lastRenderedPageBreak/>
        <w:t xml:space="preserve">25.3. Microempreendedor Individual - MEI: Certificado da Condição de </w:t>
      </w:r>
      <w:proofErr w:type="gramStart"/>
      <w:r w:rsidRPr="003C668B">
        <w:rPr>
          <w:rFonts w:ascii="Times New Roman" w:hAnsi="Times New Roman" w:cs="Times New Roman"/>
        </w:rPr>
        <w:t>Microempreendedor  Individual</w:t>
      </w:r>
      <w:proofErr w:type="gramEnd"/>
      <w:r w:rsidRPr="003C668B">
        <w:rPr>
          <w:rFonts w:ascii="Times New Roman" w:hAnsi="Times New Roman" w:cs="Times New Roman"/>
        </w:rPr>
        <w:t xml:space="preserve"> - CCMEI, cuja aceitação ficará condicionada à verificação da autenticidade no sítio </w:t>
      </w:r>
      <w:hyperlink r:id="rId8">
        <w:r w:rsidRPr="003C668B">
          <w:rPr>
            <w:rStyle w:val="Hyperlink"/>
            <w:rFonts w:ascii="Times New Roman" w:hAnsi="Times New Roman" w:cs="Times New Roman"/>
          </w:rPr>
          <w:t>https://www.gov.br/empresas-e-negocios/pt-br/empreendedor.</w:t>
        </w:r>
      </w:hyperlink>
    </w:p>
    <w:p w14:paraId="47B1DC88" w14:textId="77777777" w:rsidR="003C668B" w:rsidRPr="003C668B" w:rsidRDefault="003C668B" w:rsidP="004A1A3C">
      <w:pPr>
        <w:ind w:right="-518"/>
        <w:jc w:val="both"/>
        <w:rPr>
          <w:rFonts w:ascii="Times New Roman" w:hAnsi="Times New Roman" w:cs="Times New Roman"/>
        </w:rPr>
      </w:pPr>
    </w:p>
    <w:p w14:paraId="0D661AD0" w14:textId="77777777" w:rsidR="003C668B" w:rsidRPr="003C668B" w:rsidRDefault="003C668B" w:rsidP="004A1A3C">
      <w:pPr>
        <w:numPr>
          <w:ilvl w:val="1"/>
          <w:numId w:val="4"/>
        </w:numPr>
        <w:ind w:right="-518"/>
        <w:jc w:val="both"/>
        <w:rPr>
          <w:rFonts w:ascii="Times New Roman" w:hAnsi="Times New Roman" w:cs="Times New Roman"/>
        </w:rPr>
      </w:pPr>
      <w:r w:rsidRPr="003C668B">
        <w:rPr>
          <w:rFonts w:ascii="Times New Roman" w:hAnsi="Times New Roman" w:cs="Times New Roman"/>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11F4307" w14:textId="77777777" w:rsidR="003C668B" w:rsidRPr="003C668B" w:rsidRDefault="003C668B" w:rsidP="004A1A3C">
      <w:pPr>
        <w:ind w:right="-518"/>
        <w:jc w:val="both"/>
        <w:rPr>
          <w:rFonts w:ascii="Times New Roman" w:hAnsi="Times New Roman" w:cs="Times New Roman"/>
        </w:rPr>
      </w:pPr>
    </w:p>
    <w:p w14:paraId="475B367D"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 xml:space="preserve">25.5.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sidRPr="003C668B">
        <w:rPr>
          <w:rFonts w:ascii="Times New Roman" w:hAnsi="Times New Roman" w:cs="Times New Roman"/>
          <w:u w:val="single"/>
        </w:rPr>
        <w:t>Normativa DREI/ME n.º 77, de 18 de março de 2020</w:t>
      </w:r>
      <w:r w:rsidRPr="003C668B">
        <w:rPr>
          <w:rFonts w:ascii="Times New Roman" w:hAnsi="Times New Roman" w:cs="Times New Roman"/>
        </w:rPr>
        <w:t>.</w:t>
      </w:r>
    </w:p>
    <w:p w14:paraId="1146362D" w14:textId="77777777" w:rsidR="003C668B" w:rsidRPr="003C668B" w:rsidRDefault="003C668B" w:rsidP="004A1A3C">
      <w:pPr>
        <w:numPr>
          <w:ilvl w:val="1"/>
          <w:numId w:val="5"/>
        </w:numPr>
        <w:ind w:right="-518"/>
        <w:jc w:val="both"/>
        <w:rPr>
          <w:rFonts w:ascii="Times New Roman" w:hAnsi="Times New Roman" w:cs="Times New Roman"/>
        </w:rPr>
      </w:pPr>
      <w:r w:rsidRPr="003C668B">
        <w:rPr>
          <w:rFonts w:ascii="Times New Roman" w:hAnsi="Times New Roman" w:cs="Times New Roman"/>
        </w:rPr>
        <w:t>Sociedade simples: inscrição do ato constitutivo no Registro Civil de Pessoas Jurídicas do local de sua sede, acompanhada de documento comprobatório de seus administradores.</w:t>
      </w:r>
    </w:p>
    <w:p w14:paraId="4D990AE1"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25.</w:t>
      </w:r>
      <w:proofErr w:type="gramStart"/>
      <w:r w:rsidRPr="003C668B">
        <w:rPr>
          <w:rFonts w:ascii="Times New Roman" w:hAnsi="Times New Roman" w:cs="Times New Roman"/>
        </w:rPr>
        <w:t>7.Filial</w:t>
      </w:r>
      <w:proofErr w:type="gramEnd"/>
      <w:r w:rsidRPr="003C668B">
        <w:rPr>
          <w:rFonts w:ascii="Times New Roman" w:hAnsi="Times New Roman" w:cs="Times New Roman"/>
        </w:rPr>
        <w:t>,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03432BDD"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25.</w:t>
      </w:r>
      <w:proofErr w:type="gramStart"/>
      <w:r w:rsidRPr="003C668B">
        <w:rPr>
          <w:rFonts w:ascii="Times New Roman" w:hAnsi="Times New Roman" w:cs="Times New Roman"/>
        </w:rPr>
        <w:t>8.Os</w:t>
      </w:r>
      <w:proofErr w:type="gramEnd"/>
      <w:r w:rsidRPr="003C668B">
        <w:rPr>
          <w:rFonts w:ascii="Times New Roman" w:hAnsi="Times New Roman" w:cs="Times New Roman"/>
        </w:rPr>
        <w:t xml:space="preserve"> documentos apresentados deverão estar acompanhados de todas as alterações ou da consolidação respectiva.</w:t>
      </w:r>
    </w:p>
    <w:p w14:paraId="42F673C2" w14:textId="77777777" w:rsidR="003C668B" w:rsidRPr="003C668B" w:rsidRDefault="003C668B" w:rsidP="004A1A3C">
      <w:pPr>
        <w:numPr>
          <w:ilvl w:val="0"/>
          <w:numId w:val="5"/>
        </w:numPr>
        <w:ind w:right="-518"/>
        <w:jc w:val="both"/>
        <w:rPr>
          <w:rFonts w:ascii="Times New Roman" w:hAnsi="Times New Roman" w:cs="Times New Roman"/>
        </w:rPr>
      </w:pPr>
      <w:r w:rsidRPr="003C668B">
        <w:rPr>
          <w:rFonts w:ascii="Times New Roman" w:hAnsi="Times New Roman" w:cs="Times New Roman"/>
        </w:rPr>
        <w:t>Habilitação fiscal, social e trabalhista.</w:t>
      </w:r>
    </w:p>
    <w:p w14:paraId="03C3B558"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26.</w:t>
      </w:r>
      <w:proofErr w:type="gramStart"/>
      <w:r w:rsidRPr="003C668B">
        <w:rPr>
          <w:rFonts w:ascii="Times New Roman" w:hAnsi="Times New Roman" w:cs="Times New Roman"/>
        </w:rPr>
        <w:t>1.Prova</w:t>
      </w:r>
      <w:proofErr w:type="gramEnd"/>
      <w:r w:rsidRPr="003C668B">
        <w:rPr>
          <w:rFonts w:ascii="Times New Roman" w:hAnsi="Times New Roman" w:cs="Times New Roman"/>
        </w:rPr>
        <w:t xml:space="preserve"> de inscrição no Cadastro Nacional de Pessoas Jurídicas ou no Cadastro de Pessoas Físicas, conforme o caso.</w:t>
      </w:r>
    </w:p>
    <w:p w14:paraId="0610AF9D"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26.2.Prova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92DC7D1"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lastRenderedPageBreak/>
        <w:t>26.</w:t>
      </w:r>
      <w:proofErr w:type="gramStart"/>
      <w:r w:rsidRPr="003C668B">
        <w:rPr>
          <w:rFonts w:ascii="Times New Roman" w:hAnsi="Times New Roman" w:cs="Times New Roman"/>
        </w:rPr>
        <w:t>3.Prova</w:t>
      </w:r>
      <w:proofErr w:type="gramEnd"/>
      <w:r w:rsidRPr="003C668B">
        <w:rPr>
          <w:rFonts w:ascii="Times New Roman" w:hAnsi="Times New Roman" w:cs="Times New Roman"/>
        </w:rPr>
        <w:t xml:space="preserve"> de regularidade com o Fundo de Garantia do Tempo de Serviço (FGTS).</w:t>
      </w:r>
    </w:p>
    <w:p w14:paraId="7C577616"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26.</w:t>
      </w:r>
      <w:proofErr w:type="gramStart"/>
      <w:r w:rsidRPr="003C668B">
        <w:rPr>
          <w:rFonts w:ascii="Times New Roman" w:hAnsi="Times New Roman" w:cs="Times New Roman"/>
        </w:rPr>
        <w:t>4.Prova</w:t>
      </w:r>
      <w:proofErr w:type="gramEnd"/>
      <w:r w:rsidRPr="003C668B">
        <w:rPr>
          <w:rFonts w:ascii="Times New Roman" w:hAnsi="Times New Roman" w:cs="Times New Roman"/>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25A300A"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26.</w:t>
      </w:r>
      <w:proofErr w:type="gramStart"/>
      <w:r w:rsidRPr="003C668B">
        <w:rPr>
          <w:rFonts w:ascii="Times New Roman" w:hAnsi="Times New Roman" w:cs="Times New Roman"/>
        </w:rPr>
        <w:t>5.Prova</w:t>
      </w:r>
      <w:proofErr w:type="gramEnd"/>
      <w:r w:rsidRPr="003C668B">
        <w:rPr>
          <w:rFonts w:ascii="Times New Roman" w:hAnsi="Times New Roman" w:cs="Times New Roman"/>
        </w:rPr>
        <w:t xml:space="preserve"> de inscrição no cadastro de contribuintes Estadual/Distrital relativo ao domicílio ou sede do fornecedor, pertinente ao seu ramo de atividade e compatível com o objeto contratual.</w:t>
      </w:r>
    </w:p>
    <w:p w14:paraId="18F1C7D3" w14:textId="77777777" w:rsidR="003C668B" w:rsidRPr="003C668B" w:rsidRDefault="003C668B" w:rsidP="004A1A3C">
      <w:pPr>
        <w:ind w:right="-518"/>
        <w:jc w:val="both"/>
        <w:rPr>
          <w:rFonts w:ascii="Times New Roman" w:hAnsi="Times New Roman" w:cs="Times New Roman"/>
        </w:rPr>
      </w:pPr>
    </w:p>
    <w:p w14:paraId="0E8BBB7A"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26.</w:t>
      </w:r>
      <w:proofErr w:type="gramStart"/>
      <w:r w:rsidRPr="003C668B">
        <w:rPr>
          <w:rFonts w:ascii="Times New Roman" w:hAnsi="Times New Roman" w:cs="Times New Roman"/>
        </w:rPr>
        <w:t>6.Prova</w:t>
      </w:r>
      <w:proofErr w:type="gramEnd"/>
      <w:r w:rsidRPr="003C668B">
        <w:rPr>
          <w:rFonts w:ascii="Times New Roman" w:hAnsi="Times New Roman" w:cs="Times New Roman"/>
        </w:rPr>
        <w:t xml:space="preserve"> de regularidade com a Fazenda Estadual/Distrital do domicílio ou sede do fornecedor, relativa à atividade em cujo exercício contrata ou concorre.</w:t>
      </w:r>
    </w:p>
    <w:p w14:paraId="21A3F849"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26.7. 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2A78CE81"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26.8.O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796F75D" w14:textId="77777777" w:rsidR="003C668B" w:rsidRPr="003C668B" w:rsidRDefault="003C668B" w:rsidP="004A1A3C">
      <w:pPr>
        <w:numPr>
          <w:ilvl w:val="0"/>
          <w:numId w:val="5"/>
        </w:numPr>
        <w:ind w:right="-518"/>
        <w:jc w:val="both"/>
        <w:rPr>
          <w:rFonts w:ascii="Times New Roman" w:hAnsi="Times New Roman" w:cs="Times New Roman"/>
        </w:rPr>
      </w:pPr>
      <w:r w:rsidRPr="003C668B">
        <w:rPr>
          <w:rFonts w:ascii="Times New Roman" w:hAnsi="Times New Roman" w:cs="Times New Roman"/>
        </w:rPr>
        <w:t>Qualificação Econômico-Financeira</w:t>
      </w:r>
    </w:p>
    <w:p w14:paraId="759C9614"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 xml:space="preserve">27.1. Certidão negativa de falência expedida pelo distribuidor da sede do fornecedor - </w:t>
      </w:r>
      <w:r w:rsidRPr="003C668B">
        <w:rPr>
          <w:rFonts w:ascii="Times New Roman" w:hAnsi="Times New Roman" w:cs="Times New Roman"/>
          <w:u w:val="single"/>
        </w:rPr>
        <w:t>Lei nº</w:t>
      </w:r>
      <w:r w:rsidRPr="003C668B">
        <w:rPr>
          <w:rFonts w:ascii="Times New Roman" w:hAnsi="Times New Roman" w:cs="Times New Roman"/>
        </w:rPr>
        <w:t xml:space="preserve"> </w:t>
      </w:r>
      <w:r w:rsidRPr="003C668B">
        <w:rPr>
          <w:rFonts w:ascii="Times New Roman" w:hAnsi="Times New Roman" w:cs="Times New Roman"/>
          <w:u w:val="single"/>
        </w:rPr>
        <w:t>14.133, de 2021, art. 69, caput, inciso II</w:t>
      </w:r>
      <w:r w:rsidRPr="003C668B">
        <w:rPr>
          <w:rFonts w:ascii="Times New Roman" w:hAnsi="Times New Roman" w:cs="Times New Roman"/>
        </w:rPr>
        <w:t>).</w:t>
      </w:r>
    </w:p>
    <w:p w14:paraId="133681AB"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28.Adequação orçamentária</w:t>
      </w:r>
    </w:p>
    <w:p w14:paraId="2D192F1A" w14:textId="77777777" w:rsidR="003C668B" w:rsidRPr="003C668B" w:rsidRDefault="003C668B" w:rsidP="004A1A3C">
      <w:pPr>
        <w:numPr>
          <w:ilvl w:val="1"/>
          <w:numId w:val="6"/>
        </w:numPr>
        <w:ind w:right="-518"/>
        <w:jc w:val="both"/>
        <w:rPr>
          <w:rFonts w:ascii="Times New Roman" w:hAnsi="Times New Roman" w:cs="Times New Roman"/>
        </w:rPr>
      </w:pPr>
      <w:r w:rsidRPr="003C668B">
        <w:rPr>
          <w:rFonts w:ascii="Times New Roman" w:hAnsi="Times New Roman" w:cs="Times New Roman"/>
        </w:rPr>
        <w:t>As despesas decorrentes da presente aquisição correrão à conta de recursos específicos consignados no Orçamento do Tribunal de Justiça de Mato Grosso do exercício corrente.</w:t>
      </w:r>
    </w:p>
    <w:p w14:paraId="3A30B1D7" w14:textId="77777777" w:rsidR="003C668B" w:rsidRPr="003C668B" w:rsidRDefault="003C668B" w:rsidP="004A1A3C">
      <w:pPr>
        <w:numPr>
          <w:ilvl w:val="1"/>
          <w:numId w:val="6"/>
        </w:numPr>
        <w:ind w:right="-518"/>
        <w:jc w:val="both"/>
        <w:rPr>
          <w:rFonts w:ascii="Times New Roman" w:hAnsi="Times New Roman" w:cs="Times New Roman"/>
        </w:rPr>
      </w:pPr>
      <w:r w:rsidRPr="003C668B">
        <w:rPr>
          <w:rFonts w:ascii="Times New Roman" w:hAnsi="Times New Roman" w:cs="Times New Roman"/>
        </w:rPr>
        <w:t>A contratação será atendida pela seguinte dotação orçamentária:</w:t>
      </w:r>
    </w:p>
    <w:p w14:paraId="79236430"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Distribuição de orçamento (UG1/UG2): 0001: 65.861,83; 0002: R$ 60.000,00 Valor total estimado: R$125.861,83</w:t>
      </w:r>
    </w:p>
    <w:p w14:paraId="5DC77288"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Fonte de Despesa: 240 – Fundo de Apoio ao Judiciário PAOE: 2007 – Material de Consumo Natureza: 3390-30</w:t>
      </w:r>
    </w:p>
    <w:p w14:paraId="4781B73A"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29. Do Controle e Fiscalização</w:t>
      </w:r>
    </w:p>
    <w:p w14:paraId="565F1485"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lastRenderedPageBreak/>
        <w:t xml:space="preserve">29.1. Fica designado como fiscal da Ata de Registro de Preços o servidor </w:t>
      </w:r>
      <w:proofErr w:type="spellStart"/>
      <w:r w:rsidRPr="003C668B">
        <w:rPr>
          <w:rFonts w:ascii="Times New Roman" w:hAnsi="Times New Roman" w:cs="Times New Roman"/>
        </w:rPr>
        <w:t>Joilson</w:t>
      </w:r>
      <w:proofErr w:type="spellEnd"/>
      <w:r w:rsidRPr="003C668B">
        <w:rPr>
          <w:rFonts w:ascii="Times New Roman" w:hAnsi="Times New Roman" w:cs="Times New Roman"/>
        </w:rPr>
        <w:t xml:space="preserve"> Gonçalo de Amorim – matrícula 6200, e como substituta Márcia Cristina de Menezes </w:t>
      </w:r>
      <w:proofErr w:type="spellStart"/>
      <w:r w:rsidRPr="003C668B">
        <w:rPr>
          <w:rFonts w:ascii="Times New Roman" w:hAnsi="Times New Roman" w:cs="Times New Roman"/>
        </w:rPr>
        <w:t>Butakka</w:t>
      </w:r>
      <w:proofErr w:type="spellEnd"/>
      <w:r w:rsidRPr="003C668B">
        <w:rPr>
          <w:rFonts w:ascii="Times New Roman" w:hAnsi="Times New Roman" w:cs="Times New Roman"/>
        </w:rPr>
        <w:t xml:space="preserve"> – matrícula 6140.</w:t>
      </w:r>
    </w:p>
    <w:p w14:paraId="18A3141A"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29.2. Compete à fiscalização acompanhar a execução, registrar ocorrências, determinar correções e comunicar a autoridade competente.</w:t>
      </w:r>
    </w:p>
    <w:p w14:paraId="4346DE7F"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29.3. A fiscalização não exclui nem reduz a responsabilidade do fornecedor, nos termos do art. 120 da Lei nº 14.133/2021</w:t>
      </w:r>
    </w:p>
    <w:p w14:paraId="10D278B2" w14:textId="77777777" w:rsidR="003C668B" w:rsidRPr="003C668B" w:rsidRDefault="003C668B" w:rsidP="004A1A3C">
      <w:pPr>
        <w:ind w:right="-518"/>
        <w:jc w:val="both"/>
        <w:rPr>
          <w:rFonts w:ascii="Times New Roman" w:hAnsi="Times New Roman" w:cs="Times New Roman"/>
        </w:rPr>
      </w:pPr>
      <w:r w:rsidRPr="003C668B">
        <w:rPr>
          <w:rFonts w:ascii="Times New Roman" w:hAnsi="Times New Roman" w:cs="Times New Roman"/>
        </w:rPr>
        <w:t>Cuiabá, 22 de maio de 2026</w:t>
      </w:r>
    </w:p>
    <w:p w14:paraId="756CEDDF" w14:textId="77777777" w:rsidR="003C668B" w:rsidRPr="003C668B" w:rsidRDefault="003C668B" w:rsidP="003C668B">
      <w:pPr>
        <w:rPr>
          <w:rFonts w:ascii="Times New Roman" w:hAnsi="Times New Roman" w:cs="Times New Roman"/>
        </w:rPr>
      </w:pPr>
    </w:p>
    <w:p w14:paraId="6EEE8077" w14:textId="77777777" w:rsidR="003C668B" w:rsidRPr="003C668B" w:rsidRDefault="003C668B" w:rsidP="003C668B">
      <w:pPr>
        <w:rPr>
          <w:rFonts w:ascii="Times New Roman" w:hAnsi="Times New Roman" w:cs="Times New Roman"/>
        </w:rPr>
      </w:pPr>
    </w:p>
    <w:p w14:paraId="4EC34A31" w14:textId="77777777" w:rsidR="003C668B" w:rsidRPr="003C668B" w:rsidRDefault="003C668B" w:rsidP="004A1A3C">
      <w:pPr>
        <w:jc w:val="center"/>
        <w:rPr>
          <w:rFonts w:ascii="Times New Roman" w:hAnsi="Times New Roman" w:cs="Times New Roman"/>
        </w:rPr>
      </w:pPr>
      <w:proofErr w:type="spellStart"/>
      <w:r w:rsidRPr="003C668B">
        <w:rPr>
          <w:rFonts w:ascii="Times New Roman" w:hAnsi="Times New Roman" w:cs="Times New Roman"/>
        </w:rPr>
        <w:t>Joilson</w:t>
      </w:r>
      <w:proofErr w:type="spellEnd"/>
      <w:r w:rsidRPr="003C668B">
        <w:rPr>
          <w:rFonts w:ascii="Times New Roman" w:hAnsi="Times New Roman" w:cs="Times New Roman"/>
        </w:rPr>
        <w:t xml:space="preserve"> Gonçalo de Amorim</w:t>
      </w:r>
    </w:p>
    <w:p w14:paraId="35022879" w14:textId="77777777" w:rsidR="003C668B" w:rsidRPr="003C668B" w:rsidRDefault="003C668B" w:rsidP="004A1A3C">
      <w:pPr>
        <w:jc w:val="center"/>
        <w:rPr>
          <w:rFonts w:ascii="Times New Roman" w:hAnsi="Times New Roman" w:cs="Times New Roman"/>
        </w:rPr>
      </w:pPr>
      <w:r w:rsidRPr="003C668B">
        <w:rPr>
          <w:rFonts w:ascii="Times New Roman" w:hAnsi="Times New Roman" w:cs="Times New Roman"/>
        </w:rPr>
        <w:t>CPF. 441.791.971-20</w:t>
      </w:r>
    </w:p>
    <w:p w14:paraId="2ED7684C" w14:textId="77777777" w:rsidR="003C668B" w:rsidRPr="003C668B" w:rsidRDefault="003C668B" w:rsidP="004A1A3C">
      <w:pPr>
        <w:jc w:val="center"/>
        <w:rPr>
          <w:rFonts w:ascii="Times New Roman" w:hAnsi="Times New Roman" w:cs="Times New Roman"/>
        </w:rPr>
      </w:pPr>
      <w:r w:rsidRPr="003C668B">
        <w:rPr>
          <w:rFonts w:ascii="Times New Roman" w:hAnsi="Times New Roman" w:cs="Times New Roman"/>
        </w:rPr>
        <w:t>Chefe de Divisão de Estoque</w:t>
      </w:r>
    </w:p>
    <w:p w14:paraId="18C90A3F" w14:textId="77777777" w:rsidR="003C668B" w:rsidRPr="003C668B" w:rsidRDefault="003C668B" w:rsidP="004A1A3C">
      <w:pPr>
        <w:jc w:val="center"/>
        <w:rPr>
          <w:rFonts w:ascii="Times New Roman" w:hAnsi="Times New Roman" w:cs="Times New Roman"/>
        </w:rPr>
      </w:pPr>
    </w:p>
    <w:p w14:paraId="739AD62B" w14:textId="77777777" w:rsidR="003C668B" w:rsidRPr="003C668B" w:rsidRDefault="003C668B" w:rsidP="003C668B">
      <w:pPr>
        <w:rPr>
          <w:rFonts w:ascii="Times New Roman" w:hAnsi="Times New Roman" w:cs="Times New Roman"/>
        </w:rPr>
      </w:pPr>
    </w:p>
    <w:p w14:paraId="1617342C" w14:textId="77777777" w:rsidR="003C668B" w:rsidRPr="003C668B" w:rsidRDefault="003C668B" w:rsidP="003C668B">
      <w:pPr>
        <w:rPr>
          <w:rFonts w:ascii="Times New Roman" w:hAnsi="Times New Roman" w:cs="Times New Roman"/>
        </w:rPr>
      </w:pPr>
    </w:p>
    <w:p w14:paraId="13393BE7" w14:textId="77777777" w:rsidR="003C668B" w:rsidRPr="003C668B" w:rsidRDefault="003C668B" w:rsidP="003C668B">
      <w:pPr>
        <w:rPr>
          <w:rFonts w:ascii="Times New Roman" w:hAnsi="Times New Roman" w:cs="Times New Roman"/>
        </w:rPr>
      </w:pPr>
      <w:r w:rsidRPr="003C668B">
        <w:rPr>
          <w:rFonts w:ascii="Times New Roman" w:hAnsi="Times New Roman" w:cs="Times New Roman"/>
        </w:rPr>
        <w:t>Visto:</w:t>
      </w:r>
    </w:p>
    <w:p w14:paraId="15BBBE13" w14:textId="77777777" w:rsidR="003C668B" w:rsidRPr="003C668B" w:rsidRDefault="003C668B" w:rsidP="003C668B">
      <w:pPr>
        <w:rPr>
          <w:rFonts w:ascii="Times New Roman" w:hAnsi="Times New Roman" w:cs="Times New Roman"/>
        </w:rPr>
      </w:pPr>
      <w:proofErr w:type="spellStart"/>
      <w:r w:rsidRPr="003C668B">
        <w:rPr>
          <w:rFonts w:ascii="Times New Roman" w:hAnsi="Times New Roman" w:cs="Times New Roman"/>
        </w:rPr>
        <w:t>Wermison</w:t>
      </w:r>
      <w:proofErr w:type="spellEnd"/>
      <w:r w:rsidRPr="003C668B">
        <w:rPr>
          <w:rFonts w:ascii="Times New Roman" w:hAnsi="Times New Roman" w:cs="Times New Roman"/>
        </w:rPr>
        <w:t xml:space="preserve"> Ferreira Cesar</w:t>
      </w:r>
    </w:p>
    <w:p w14:paraId="5E77985F" w14:textId="77777777" w:rsidR="003C668B" w:rsidRPr="003C668B" w:rsidRDefault="003C668B" w:rsidP="003C668B">
      <w:pPr>
        <w:rPr>
          <w:rFonts w:ascii="Times New Roman" w:hAnsi="Times New Roman" w:cs="Times New Roman"/>
          <w:b/>
          <w:bCs/>
        </w:rPr>
      </w:pPr>
      <w:r w:rsidRPr="003C668B">
        <w:rPr>
          <w:rFonts w:ascii="Times New Roman" w:hAnsi="Times New Roman" w:cs="Times New Roman"/>
        </w:rPr>
        <w:t>Diretor do Departamento de M</w:t>
      </w:r>
      <w:r w:rsidRPr="003C668B">
        <w:rPr>
          <w:rFonts w:ascii="Times New Roman" w:hAnsi="Times New Roman" w:cs="Times New Roman"/>
          <w:b/>
          <w:bCs/>
        </w:rPr>
        <w:t>aterial e Patrimônio</w:t>
      </w:r>
    </w:p>
    <w:p w14:paraId="2516BD24" w14:textId="77777777" w:rsidR="00563277" w:rsidRPr="003C668B" w:rsidRDefault="00563277">
      <w:pPr>
        <w:rPr>
          <w:rFonts w:ascii="Times New Roman" w:hAnsi="Times New Roman" w:cs="Times New Roman"/>
        </w:rPr>
      </w:pPr>
    </w:p>
    <w:sectPr w:rsidR="00563277" w:rsidRPr="003C668B" w:rsidSect="003C668B">
      <w:headerReference w:type="default" r:id="rId9"/>
      <w:pgSz w:w="12240" w:h="15840"/>
      <w:pgMar w:top="1417" w:right="1701" w:bottom="1417"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479B2" w14:textId="77777777" w:rsidR="00926815" w:rsidRDefault="00926815" w:rsidP="003C668B">
      <w:pPr>
        <w:spacing w:after="0" w:line="240" w:lineRule="auto"/>
      </w:pPr>
      <w:r>
        <w:separator/>
      </w:r>
    </w:p>
  </w:endnote>
  <w:endnote w:type="continuationSeparator" w:id="0">
    <w:p w14:paraId="77182C8D" w14:textId="77777777" w:rsidR="00926815" w:rsidRDefault="00926815" w:rsidP="003C6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3756B" w14:textId="77777777" w:rsidR="00926815" w:rsidRDefault="00926815" w:rsidP="003C668B">
      <w:pPr>
        <w:spacing w:after="0" w:line="240" w:lineRule="auto"/>
      </w:pPr>
      <w:r>
        <w:separator/>
      </w:r>
    </w:p>
  </w:footnote>
  <w:footnote w:type="continuationSeparator" w:id="0">
    <w:p w14:paraId="2E3AD1A3" w14:textId="77777777" w:rsidR="00926815" w:rsidRDefault="00926815" w:rsidP="003C66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EA400" w14:textId="696A17F5" w:rsidR="003C668B" w:rsidRDefault="003C668B" w:rsidP="003C668B">
    <w:pPr>
      <w:pStyle w:val="Cabealho"/>
      <w:jc w:val="center"/>
    </w:pPr>
    <w:r>
      <w:rPr>
        <w:noProof/>
      </w:rPr>
      <w:drawing>
        <wp:anchor distT="0" distB="0" distL="0" distR="0" simplePos="0" relativeHeight="251659264" behindDoc="1" locked="0" layoutInCell="0" allowOverlap="1" wp14:anchorId="72CE40DD" wp14:editId="3DCE7A49">
          <wp:simplePos x="0" y="0"/>
          <wp:positionH relativeFrom="margin">
            <wp:posOffset>2406015</wp:posOffset>
          </wp:positionH>
          <wp:positionV relativeFrom="page">
            <wp:posOffset>371475</wp:posOffset>
          </wp:positionV>
          <wp:extent cx="832485" cy="808355"/>
          <wp:effectExtent l="0" t="0" r="5715" b="0"/>
          <wp:wrapNone/>
          <wp:docPr id="1377907565"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2485" cy="8083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3B4036" w14:textId="77777777" w:rsidR="003C668B" w:rsidRDefault="003C668B" w:rsidP="003C668B">
    <w:pPr>
      <w:pStyle w:val="Cabealho"/>
      <w:jc w:val="center"/>
    </w:pPr>
  </w:p>
  <w:p w14:paraId="37E11C78" w14:textId="77777777" w:rsidR="003C668B" w:rsidRDefault="003C668B" w:rsidP="003C668B">
    <w:pPr>
      <w:pStyle w:val="Cabealho"/>
      <w:jc w:val="center"/>
      <w:rPr>
        <w:b/>
        <w:bCs/>
      </w:rPr>
    </w:pPr>
  </w:p>
  <w:p w14:paraId="7DC564E5" w14:textId="77777777" w:rsidR="003C668B" w:rsidRDefault="003C668B" w:rsidP="003C668B">
    <w:pPr>
      <w:pStyle w:val="Cabealho"/>
      <w:jc w:val="center"/>
      <w:rPr>
        <w:b/>
        <w:bCs/>
      </w:rPr>
    </w:pPr>
  </w:p>
  <w:p w14:paraId="27AA4BFC" w14:textId="2DABEE48" w:rsidR="003C668B" w:rsidRPr="003C668B" w:rsidRDefault="003C668B" w:rsidP="003C668B">
    <w:pPr>
      <w:pStyle w:val="Cabealho"/>
      <w:jc w:val="center"/>
      <w:rPr>
        <w:b/>
        <w:bCs/>
      </w:rPr>
    </w:pPr>
    <w:r w:rsidRPr="003C668B">
      <w:rPr>
        <w:b/>
        <w:bCs/>
      </w:rPr>
      <w:t>ESTADO DE MATO GROSSO</w:t>
    </w:r>
  </w:p>
  <w:p w14:paraId="3438E073" w14:textId="0FDE571D" w:rsidR="003C668B" w:rsidRDefault="003C668B" w:rsidP="003C668B">
    <w:pPr>
      <w:pStyle w:val="Cabealho"/>
      <w:jc w:val="center"/>
    </w:pPr>
    <w:r w:rsidRPr="003C668B">
      <w:rPr>
        <w:b/>
        <w:bCs/>
      </w:rPr>
      <w:t>PODER JUDICIÁRIO</w:t>
    </w:r>
    <w:r w:rsidRPr="003C668B">
      <w:rPr>
        <w:b/>
        <w:bCs/>
      </w:rPr>
      <w:br/>
      <w:t>TRIBUNAL DE JUSTIÇA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A31FD"/>
    <w:multiLevelType w:val="multilevel"/>
    <w:tmpl w:val="FFFFFFFF"/>
    <w:lvl w:ilvl="0">
      <w:start w:val="25"/>
      <w:numFmt w:val="decimal"/>
      <w:lvlText w:val="%1"/>
      <w:lvlJc w:val="left"/>
      <w:pPr>
        <w:ind w:left="480" w:hanging="480"/>
      </w:pPr>
      <w:rPr>
        <w:color w:val="000000"/>
      </w:rPr>
    </w:lvl>
    <w:lvl w:ilvl="1">
      <w:start w:val="4"/>
      <w:numFmt w:val="decimal"/>
      <w:lvlText w:val="%1.%2"/>
      <w:lvlJc w:val="left"/>
      <w:pPr>
        <w:ind w:left="480" w:hanging="480"/>
      </w:pPr>
      <w:rPr>
        <w:color w:val="000000"/>
      </w:rPr>
    </w:lvl>
    <w:lvl w:ilvl="2">
      <w:start w:val="1"/>
      <w:numFmt w:val="decimal"/>
      <w:lvlText w:val="%1.%2.%3"/>
      <w:lvlJc w:val="left"/>
      <w:pPr>
        <w:ind w:left="810" w:hanging="720"/>
      </w:pPr>
      <w:rPr>
        <w:color w:val="000000"/>
      </w:rPr>
    </w:lvl>
    <w:lvl w:ilvl="3">
      <w:start w:val="1"/>
      <w:numFmt w:val="decimal"/>
      <w:lvlText w:val="%1.%2.%3.%4"/>
      <w:lvlJc w:val="left"/>
      <w:pPr>
        <w:ind w:left="1215" w:hanging="1080"/>
      </w:pPr>
      <w:rPr>
        <w:color w:val="000000"/>
      </w:rPr>
    </w:lvl>
    <w:lvl w:ilvl="4">
      <w:start w:val="1"/>
      <w:numFmt w:val="decimal"/>
      <w:lvlText w:val="%1.%2.%3.%4.%5"/>
      <w:lvlJc w:val="left"/>
      <w:pPr>
        <w:ind w:left="1260" w:hanging="1080"/>
      </w:pPr>
      <w:rPr>
        <w:color w:val="000000"/>
      </w:rPr>
    </w:lvl>
    <w:lvl w:ilvl="5">
      <w:start w:val="1"/>
      <w:numFmt w:val="decimal"/>
      <w:lvlText w:val="%1.%2.%3.%4.%5.%6"/>
      <w:lvlJc w:val="left"/>
      <w:pPr>
        <w:ind w:left="1665" w:hanging="1440"/>
      </w:pPr>
      <w:rPr>
        <w:color w:val="000000"/>
      </w:rPr>
    </w:lvl>
    <w:lvl w:ilvl="6">
      <w:start w:val="1"/>
      <w:numFmt w:val="decimal"/>
      <w:lvlText w:val="%1.%2.%3.%4.%5.%6.%7"/>
      <w:lvlJc w:val="left"/>
      <w:pPr>
        <w:ind w:left="1710" w:hanging="1440"/>
      </w:pPr>
      <w:rPr>
        <w:color w:val="000000"/>
      </w:rPr>
    </w:lvl>
    <w:lvl w:ilvl="7">
      <w:start w:val="1"/>
      <w:numFmt w:val="decimal"/>
      <w:lvlText w:val="%1.%2.%3.%4.%5.%6.%7.%8"/>
      <w:lvlJc w:val="left"/>
      <w:pPr>
        <w:ind w:left="2115" w:hanging="1800"/>
      </w:pPr>
      <w:rPr>
        <w:color w:val="000000"/>
      </w:rPr>
    </w:lvl>
    <w:lvl w:ilvl="8">
      <w:start w:val="1"/>
      <w:numFmt w:val="decimal"/>
      <w:lvlText w:val="%1.%2.%3.%4.%5.%6.%7.%8.%9"/>
      <w:lvlJc w:val="left"/>
      <w:pPr>
        <w:ind w:left="2160" w:hanging="1800"/>
      </w:pPr>
      <w:rPr>
        <w:color w:val="000000"/>
      </w:rPr>
    </w:lvl>
  </w:abstractNum>
  <w:abstractNum w:abstractNumId="1" w15:restartNumberingAfterBreak="0">
    <w:nsid w:val="32C30FD7"/>
    <w:multiLevelType w:val="multilevel"/>
    <w:tmpl w:val="FFFFFFFF"/>
    <w:lvl w:ilvl="0">
      <w:start w:val="1"/>
      <w:numFmt w:val="bullet"/>
      <w:lvlText w:val="·"/>
      <w:lvlJc w:val="left"/>
      <w:pPr>
        <w:ind w:left="720" w:hanging="360"/>
      </w:pPr>
      <w:rPr>
        <w:rFonts w:ascii="Symbol" w:hAnsi="Symbol" w:cs="Symbol"/>
        <w:color w:val="000000"/>
        <w:sz w:val="20"/>
        <w:szCs w:val="20"/>
      </w:rPr>
    </w:lvl>
    <w:lvl w:ilvl="1">
      <w:start w:val="1"/>
      <w:numFmt w:val="bullet"/>
      <w:lvlText w:val="o"/>
      <w:lvlJc w:val="left"/>
      <w:pPr>
        <w:ind w:left="1440" w:hanging="360"/>
      </w:pPr>
      <w:rPr>
        <w:rFonts w:ascii="Courier New" w:hAnsi="Courier New" w:cs="Courier New"/>
        <w:color w:val="000000"/>
        <w:sz w:val="20"/>
        <w:szCs w:val="20"/>
      </w:rPr>
    </w:lvl>
    <w:lvl w:ilvl="2">
      <w:start w:val="1"/>
      <w:numFmt w:val="bullet"/>
      <w:lvlText w:val="§"/>
      <w:lvlJc w:val="left"/>
      <w:pPr>
        <w:ind w:left="2160" w:hanging="360"/>
      </w:pPr>
      <w:rPr>
        <w:rFonts w:ascii="Wingdings" w:hAnsi="Wingdings" w:cs="Wingdings"/>
        <w:color w:val="000000"/>
        <w:sz w:val="20"/>
        <w:szCs w:val="20"/>
      </w:rPr>
    </w:lvl>
    <w:lvl w:ilvl="3">
      <w:start w:val="1"/>
      <w:numFmt w:val="bullet"/>
      <w:lvlText w:val="§"/>
      <w:lvlJc w:val="left"/>
      <w:pPr>
        <w:ind w:left="2880" w:hanging="360"/>
      </w:pPr>
      <w:rPr>
        <w:rFonts w:ascii="Wingdings" w:hAnsi="Wingdings" w:cs="Wingdings"/>
        <w:color w:val="000000"/>
        <w:sz w:val="20"/>
        <w:szCs w:val="20"/>
      </w:rPr>
    </w:lvl>
    <w:lvl w:ilvl="4">
      <w:start w:val="1"/>
      <w:numFmt w:val="bullet"/>
      <w:lvlText w:val="§"/>
      <w:lvlJc w:val="left"/>
      <w:pPr>
        <w:ind w:left="3600" w:hanging="360"/>
      </w:pPr>
      <w:rPr>
        <w:rFonts w:ascii="Wingdings" w:hAnsi="Wingdings" w:cs="Wingdings"/>
        <w:color w:val="000000"/>
        <w:sz w:val="20"/>
        <w:szCs w:val="20"/>
      </w:rPr>
    </w:lvl>
    <w:lvl w:ilvl="5">
      <w:start w:val="1"/>
      <w:numFmt w:val="bullet"/>
      <w:lvlText w:val="§"/>
      <w:lvlJc w:val="left"/>
      <w:pPr>
        <w:ind w:left="4320" w:hanging="360"/>
      </w:pPr>
      <w:rPr>
        <w:rFonts w:ascii="Wingdings" w:hAnsi="Wingdings" w:cs="Wingdings"/>
        <w:color w:val="000000"/>
        <w:sz w:val="20"/>
        <w:szCs w:val="20"/>
      </w:rPr>
    </w:lvl>
    <w:lvl w:ilvl="6">
      <w:start w:val="1"/>
      <w:numFmt w:val="bullet"/>
      <w:lvlText w:val="§"/>
      <w:lvlJc w:val="left"/>
      <w:pPr>
        <w:ind w:left="5040" w:hanging="360"/>
      </w:pPr>
      <w:rPr>
        <w:rFonts w:ascii="Wingdings" w:hAnsi="Wingdings" w:cs="Wingdings"/>
        <w:color w:val="000000"/>
        <w:sz w:val="20"/>
        <w:szCs w:val="20"/>
      </w:rPr>
    </w:lvl>
    <w:lvl w:ilvl="7">
      <w:start w:val="1"/>
      <w:numFmt w:val="bullet"/>
      <w:lvlText w:val="§"/>
      <w:lvlJc w:val="left"/>
      <w:pPr>
        <w:ind w:left="5760" w:hanging="360"/>
      </w:pPr>
      <w:rPr>
        <w:rFonts w:ascii="Wingdings" w:hAnsi="Wingdings" w:cs="Wingdings"/>
        <w:color w:val="000000"/>
        <w:sz w:val="20"/>
        <w:szCs w:val="20"/>
      </w:rPr>
    </w:lvl>
    <w:lvl w:ilvl="8">
      <w:start w:val="1"/>
      <w:numFmt w:val="bullet"/>
      <w:lvlText w:val="§"/>
      <w:lvlJc w:val="left"/>
      <w:pPr>
        <w:ind w:left="6480" w:hanging="360"/>
      </w:pPr>
      <w:rPr>
        <w:rFonts w:ascii="Wingdings" w:hAnsi="Wingdings" w:cs="Wingdings"/>
        <w:color w:val="000000"/>
        <w:sz w:val="20"/>
        <w:szCs w:val="20"/>
      </w:rPr>
    </w:lvl>
  </w:abstractNum>
  <w:abstractNum w:abstractNumId="2" w15:restartNumberingAfterBreak="0">
    <w:nsid w:val="4C4A010D"/>
    <w:multiLevelType w:val="multilevel"/>
    <w:tmpl w:val="FFFFFFFF"/>
    <w:lvl w:ilvl="0">
      <w:start w:val="1"/>
      <w:numFmt w:val="bullet"/>
      <w:lvlText w:val="·"/>
      <w:lvlJc w:val="left"/>
      <w:pPr>
        <w:ind w:left="720" w:hanging="360"/>
      </w:pPr>
      <w:rPr>
        <w:rFonts w:ascii="Symbol" w:hAnsi="Symbol" w:cs="Symbol"/>
        <w:color w:val="000000"/>
        <w:sz w:val="20"/>
        <w:szCs w:val="20"/>
      </w:rPr>
    </w:lvl>
    <w:lvl w:ilvl="1">
      <w:start w:val="1"/>
      <w:numFmt w:val="bullet"/>
      <w:lvlText w:val="o"/>
      <w:lvlJc w:val="left"/>
      <w:pPr>
        <w:ind w:left="1440" w:hanging="360"/>
      </w:pPr>
      <w:rPr>
        <w:rFonts w:ascii="Courier New" w:hAnsi="Courier New" w:cs="Courier New"/>
        <w:color w:val="000000"/>
        <w:sz w:val="20"/>
        <w:szCs w:val="20"/>
      </w:rPr>
    </w:lvl>
    <w:lvl w:ilvl="2">
      <w:start w:val="1"/>
      <w:numFmt w:val="bullet"/>
      <w:lvlText w:val="§"/>
      <w:lvlJc w:val="left"/>
      <w:pPr>
        <w:ind w:left="2160" w:hanging="360"/>
      </w:pPr>
      <w:rPr>
        <w:rFonts w:ascii="Wingdings" w:hAnsi="Wingdings" w:cs="Wingdings"/>
        <w:color w:val="000000"/>
        <w:sz w:val="20"/>
        <w:szCs w:val="20"/>
      </w:rPr>
    </w:lvl>
    <w:lvl w:ilvl="3">
      <w:start w:val="1"/>
      <w:numFmt w:val="bullet"/>
      <w:lvlText w:val="§"/>
      <w:lvlJc w:val="left"/>
      <w:pPr>
        <w:ind w:left="2880" w:hanging="360"/>
      </w:pPr>
      <w:rPr>
        <w:rFonts w:ascii="Wingdings" w:hAnsi="Wingdings" w:cs="Wingdings"/>
        <w:color w:val="000000"/>
        <w:sz w:val="20"/>
        <w:szCs w:val="20"/>
      </w:rPr>
    </w:lvl>
    <w:lvl w:ilvl="4">
      <w:start w:val="1"/>
      <w:numFmt w:val="bullet"/>
      <w:lvlText w:val="§"/>
      <w:lvlJc w:val="left"/>
      <w:pPr>
        <w:ind w:left="3600" w:hanging="360"/>
      </w:pPr>
      <w:rPr>
        <w:rFonts w:ascii="Wingdings" w:hAnsi="Wingdings" w:cs="Wingdings"/>
        <w:color w:val="000000"/>
        <w:sz w:val="20"/>
        <w:szCs w:val="20"/>
      </w:rPr>
    </w:lvl>
    <w:lvl w:ilvl="5">
      <w:start w:val="1"/>
      <w:numFmt w:val="bullet"/>
      <w:lvlText w:val="§"/>
      <w:lvlJc w:val="left"/>
      <w:pPr>
        <w:ind w:left="4320" w:hanging="360"/>
      </w:pPr>
      <w:rPr>
        <w:rFonts w:ascii="Wingdings" w:hAnsi="Wingdings" w:cs="Wingdings"/>
        <w:color w:val="000000"/>
        <w:sz w:val="20"/>
        <w:szCs w:val="20"/>
      </w:rPr>
    </w:lvl>
    <w:lvl w:ilvl="6">
      <w:start w:val="1"/>
      <w:numFmt w:val="bullet"/>
      <w:lvlText w:val="§"/>
      <w:lvlJc w:val="left"/>
      <w:pPr>
        <w:ind w:left="5040" w:hanging="360"/>
      </w:pPr>
      <w:rPr>
        <w:rFonts w:ascii="Wingdings" w:hAnsi="Wingdings" w:cs="Wingdings"/>
        <w:color w:val="000000"/>
        <w:sz w:val="20"/>
        <w:szCs w:val="20"/>
      </w:rPr>
    </w:lvl>
    <w:lvl w:ilvl="7">
      <w:start w:val="1"/>
      <w:numFmt w:val="bullet"/>
      <w:lvlText w:val="§"/>
      <w:lvlJc w:val="left"/>
      <w:pPr>
        <w:ind w:left="5760" w:hanging="360"/>
      </w:pPr>
      <w:rPr>
        <w:rFonts w:ascii="Wingdings" w:hAnsi="Wingdings" w:cs="Wingdings"/>
        <w:color w:val="000000"/>
        <w:sz w:val="20"/>
        <w:szCs w:val="20"/>
      </w:rPr>
    </w:lvl>
    <w:lvl w:ilvl="8">
      <w:start w:val="1"/>
      <w:numFmt w:val="bullet"/>
      <w:lvlText w:val="§"/>
      <w:lvlJc w:val="left"/>
      <w:pPr>
        <w:ind w:left="6480" w:hanging="360"/>
      </w:pPr>
      <w:rPr>
        <w:rFonts w:ascii="Wingdings" w:hAnsi="Wingdings" w:cs="Wingdings"/>
        <w:color w:val="000000"/>
        <w:sz w:val="20"/>
        <w:szCs w:val="20"/>
      </w:rPr>
    </w:lvl>
  </w:abstractNum>
  <w:abstractNum w:abstractNumId="3" w15:restartNumberingAfterBreak="0">
    <w:nsid w:val="6BD92298"/>
    <w:multiLevelType w:val="multilevel"/>
    <w:tmpl w:val="FFFFFFFF"/>
    <w:lvl w:ilvl="0">
      <w:start w:val="25"/>
      <w:numFmt w:val="decimal"/>
      <w:lvlText w:val="%1."/>
      <w:lvlJc w:val="left"/>
      <w:pPr>
        <w:ind w:left="555" w:hanging="555"/>
      </w:pPr>
      <w:rPr>
        <w:color w:val="000000"/>
      </w:rPr>
    </w:lvl>
    <w:lvl w:ilvl="1">
      <w:start w:val="6"/>
      <w:numFmt w:val="decimal"/>
      <w:lvlText w:val="%1.%2."/>
      <w:lvlJc w:val="left"/>
      <w:pPr>
        <w:ind w:left="720" w:hanging="7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2160" w:hanging="2160"/>
      </w:pPr>
      <w:rPr>
        <w:color w:val="000000"/>
      </w:rPr>
    </w:lvl>
  </w:abstractNum>
  <w:abstractNum w:abstractNumId="4" w15:restartNumberingAfterBreak="0">
    <w:nsid w:val="7A530E3E"/>
    <w:multiLevelType w:val="multilevel"/>
    <w:tmpl w:val="FFFFFFFF"/>
    <w:lvl w:ilvl="0">
      <w:start w:val="1"/>
      <w:numFmt w:val="bullet"/>
      <w:lvlText w:val="·"/>
      <w:lvlJc w:val="left"/>
      <w:pPr>
        <w:ind w:left="720" w:hanging="360"/>
      </w:pPr>
      <w:rPr>
        <w:rFonts w:ascii="Symbol" w:hAnsi="Symbol" w:cs="Symbol"/>
        <w:color w:val="000000"/>
        <w:sz w:val="20"/>
        <w:szCs w:val="20"/>
      </w:rPr>
    </w:lvl>
    <w:lvl w:ilvl="1">
      <w:start w:val="1"/>
      <w:numFmt w:val="bullet"/>
      <w:lvlText w:val="o"/>
      <w:lvlJc w:val="left"/>
      <w:pPr>
        <w:ind w:left="1440" w:hanging="360"/>
      </w:pPr>
      <w:rPr>
        <w:rFonts w:ascii="Courier New" w:hAnsi="Courier New" w:cs="Courier New"/>
        <w:color w:val="000000"/>
        <w:sz w:val="20"/>
        <w:szCs w:val="20"/>
      </w:rPr>
    </w:lvl>
    <w:lvl w:ilvl="2">
      <w:start w:val="1"/>
      <w:numFmt w:val="bullet"/>
      <w:lvlText w:val="§"/>
      <w:lvlJc w:val="left"/>
      <w:pPr>
        <w:ind w:left="2160" w:hanging="360"/>
      </w:pPr>
      <w:rPr>
        <w:rFonts w:ascii="Wingdings" w:hAnsi="Wingdings" w:cs="Wingdings"/>
        <w:color w:val="000000"/>
        <w:sz w:val="20"/>
        <w:szCs w:val="20"/>
      </w:rPr>
    </w:lvl>
    <w:lvl w:ilvl="3">
      <w:start w:val="1"/>
      <w:numFmt w:val="bullet"/>
      <w:lvlText w:val="§"/>
      <w:lvlJc w:val="left"/>
      <w:pPr>
        <w:ind w:left="2880" w:hanging="360"/>
      </w:pPr>
      <w:rPr>
        <w:rFonts w:ascii="Wingdings" w:hAnsi="Wingdings" w:cs="Wingdings"/>
        <w:color w:val="000000"/>
        <w:sz w:val="20"/>
        <w:szCs w:val="20"/>
      </w:rPr>
    </w:lvl>
    <w:lvl w:ilvl="4">
      <w:start w:val="1"/>
      <w:numFmt w:val="bullet"/>
      <w:lvlText w:val="§"/>
      <w:lvlJc w:val="left"/>
      <w:pPr>
        <w:ind w:left="3600" w:hanging="360"/>
      </w:pPr>
      <w:rPr>
        <w:rFonts w:ascii="Wingdings" w:hAnsi="Wingdings" w:cs="Wingdings"/>
        <w:color w:val="000000"/>
        <w:sz w:val="20"/>
        <w:szCs w:val="20"/>
      </w:rPr>
    </w:lvl>
    <w:lvl w:ilvl="5">
      <w:start w:val="1"/>
      <w:numFmt w:val="bullet"/>
      <w:lvlText w:val="§"/>
      <w:lvlJc w:val="left"/>
      <w:pPr>
        <w:ind w:left="4320" w:hanging="360"/>
      </w:pPr>
      <w:rPr>
        <w:rFonts w:ascii="Wingdings" w:hAnsi="Wingdings" w:cs="Wingdings"/>
        <w:color w:val="000000"/>
        <w:sz w:val="20"/>
        <w:szCs w:val="20"/>
      </w:rPr>
    </w:lvl>
    <w:lvl w:ilvl="6">
      <w:start w:val="1"/>
      <w:numFmt w:val="bullet"/>
      <w:lvlText w:val="§"/>
      <w:lvlJc w:val="left"/>
      <w:pPr>
        <w:ind w:left="5040" w:hanging="360"/>
      </w:pPr>
      <w:rPr>
        <w:rFonts w:ascii="Wingdings" w:hAnsi="Wingdings" w:cs="Wingdings"/>
        <w:color w:val="000000"/>
        <w:sz w:val="20"/>
        <w:szCs w:val="20"/>
      </w:rPr>
    </w:lvl>
    <w:lvl w:ilvl="7">
      <w:start w:val="1"/>
      <w:numFmt w:val="bullet"/>
      <w:lvlText w:val="§"/>
      <w:lvlJc w:val="left"/>
      <w:pPr>
        <w:ind w:left="5760" w:hanging="360"/>
      </w:pPr>
      <w:rPr>
        <w:rFonts w:ascii="Wingdings" w:hAnsi="Wingdings" w:cs="Wingdings"/>
        <w:color w:val="000000"/>
        <w:sz w:val="20"/>
        <w:szCs w:val="20"/>
      </w:rPr>
    </w:lvl>
    <w:lvl w:ilvl="8">
      <w:start w:val="1"/>
      <w:numFmt w:val="bullet"/>
      <w:lvlText w:val="§"/>
      <w:lvlJc w:val="left"/>
      <w:pPr>
        <w:ind w:left="6480" w:hanging="360"/>
      </w:pPr>
      <w:rPr>
        <w:rFonts w:ascii="Wingdings" w:hAnsi="Wingdings" w:cs="Wingdings"/>
        <w:color w:val="000000"/>
        <w:sz w:val="20"/>
        <w:szCs w:val="20"/>
      </w:rPr>
    </w:lvl>
  </w:abstractNum>
  <w:abstractNum w:abstractNumId="5" w15:restartNumberingAfterBreak="0">
    <w:nsid w:val="7E683502"/>
    <w:multiLevelType w:val="multilevel"/>
    <w:tmpl w:val="FFFFFFFF"/>
    <w:lvl w:ilvl="0">
      <w:start w:val="28"/>
      <w:numFmt w:val="decimal"/>
      <w:lvlText w:val="%1."/>
      <w:lvlJc w:val="left"/>
      <w:pPr>
        <w:ind w:left="555" w:hanging="555"/>
      </w:pPr>
      <w:rPr>
        <w:color w:val="000000"/>
      </w:rPr>
    </w:lvl>
    <w:lvl w:ilvl="1">
      <w:start w:val="1"/>
      <w:numFmt w:val="decimal"/>
      <w:lvlText w:val="%1.%2."/>
      <w:lvlJc w:val="left"/>
      <w:pPr>
        <w:ind w:left="720" w:hanging="7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num w:numId="1" w16cid:durableId="1984121164">
    <w:abstractNumId w:val="2"/>
  </w:num>
  <w:num w:numId="2" w16cid:durableId="883445120">
    <w:abstractNumId w:val="1"/>
  </w:num>
  <w:num w:numId="3" w16cid:durableId="1727878270">
    <w:abstractNumId w:val="4"/>
  </w:num>
  <w:num w:numId="4" w16cid:durableId="869807623">
    <w:abstractNumId w:val="0"/>
  </w:num>
  <w:num w:numId="5" w16cid:durableId="1476873873">
    <w:abstractNumId w:val="3"/>
  </w:num>
  <w:num w:numId="6" w16cid:durableId="12340043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68B"/>
    <w:rsid w:val="003C668B"/>
    <w:rsid w:val="004A1A3C"/>
    <w:rsid w:val="00563277"/>
    <w:rsid w:val="00620173"/>
    <w:rsid w:val="008F4134"/>
    <w:rsid w:val="00926815"/>
    <w:rsid w:val="00A26324"/>
    <w:rsid w:val="00F0227C"/>
    <w:rsid w:val="00F242F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599C0"/>
  <w15:chartTrackingRefBased/>
  <w15:docId w15:val="{F2D720DF-239F-4B5B-8901-17B9346ED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3C66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C66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C668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C668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C668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C668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C668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C668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C668B"/>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C668B"/>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C668B"/>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C668B"/>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C668B"/>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C668B"/>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C668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C668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C668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C668B"/>
    <w:rPr>
      <w:rFonts w:eastAsiaTheme="majorEastAsia" w:cstheme="majorBidi"/>
      <w:color w:val="272727" w:themeColor="text1" w:themeTint="D8"/>
    </w:rPr>
  </w:style>
  <w:style w:type="paragraph" w:styleId="Ttulo">
    <w:name w:val="Title"/>
    <w:basedOn w:val="Normal"/>
    <w:next w:val="Normal"/>
    <w:link w:val="TtuloChar"/>
    <w:uiPriority w:val="10"/>
    <w:qFormat/>
    <w:rsid w:val="003C66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C668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C668B"/>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C668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C668B"/>
    <w:pPr>
      <w:spacing w:before="160"/>
      <w:jc w:val="center"/>
    </w:pPr>
    <w:rPr>
      <w:i/>
      <w:iCs/>
      <w:color w:val="404040" w:themeColor="text1" w:themeTint="BF"/>
    </w:rPr>
  </w:style>
  <w:style w:type="character" w:customStyle="1" w:styleId="CitaoChar">
    <w:name w:val="Citação Char"/>
    <w:basedOn w:val="Fontepargpadro"/>
    <w:link w:val="Citao"/>
    <w:uiPriority w:val="29"/>
    <w:rsid w:val="003C668B"/>
    <w:rPr>
      <w:i/>
      <w:iCs/>
      <w:color w:val="404040" w:themeColor="text1" w:themeTint="BF"/>
    </w:rPr>
  </w:style>
  <w:style w:type="paragraph" w:styleId="PargrafodaLista">
    <w:name w:val="List Paragraph"/>
    <w:basedOn w:val="Normal"/>
    <w:uiPriority w:val="34"/>
    <w:qFormat/>
    <w:rsid w:val="003C668B"/>
    <w:pPr>
      <w:ind w:left="720"/>
      <w:contextualSpacing/>
    </w:pPr>
  </w:style>
  <w:style w:type="character" w:styleId="nfaseIntensa">
    <w:name w:val="Intense Emphasis"/>
    <w:basedOn w:val="Fontepargpadro"/>
    <w:uiPriority w:val="21"/>
    <w:qFormat/>
    <w:rsid w:val="003C668B"/>
    <w:rPr>
      <w:i/>
      <w:iCs/>
      <w:color w:val="0F4761" w:themeColor="accent1" w:themeShade="BF"/>
    </w:rPr>
  </w:style>
  <w:style w:type="paragraph" w:styleId="CitaoIntensa">
    <w:name w:val="Intense Quote"/>
    <w:basedOn w:val="Normal"/>
    <w:next w:val="Normal"/>
    <w:link w:val="CitaoIntensaChar"/>
    <w:uiPriority w:val="30"/>
    <w:qFormat/>
    <w:rsid w:val="003C66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C668B"/>
    <w:rPr>
      <w:i/>
      <w:iCs/>
      <w:color w:val="0F4761" w:themeColor="accent1" w:themeShade="BF"/>
    </w:rPr>
  </w:style>
  <w:style w:type="character" w:styleId="RefernciaIntensa">
    <w:name w:val="Intense Reference"/>
    <w:basedOn w:val="Fontepargpadro"/>
    <w:uiPriority w:val="32"/>
    <w:qFormat/>
    <w:rsid w:val="003C668B"/>
    <w:rPr>
      <w:b/>
      <w:bCs/>
      <w:smallCaps/>
      <w:color w:val="0F4761" w:themeColor="accent1" w:themeShade="BF"/>
      <w:spacing w:val="5"/>
    </w:rPr>
  </w:style>
  <w:style w:type="character" w:styleId="Hyperlink">
    <w:name w:val="Hyperlink"/>
    <w:basedOn w:val="Fontepargpadro"/>
    <w:uiPriority w:val="99"/>
    <w:unhideWhenUsed/>
    <w:rsid w:val="003C668B"/>
    <w:rPr>
      <w:color w:val="467886" w:themeColor="hyperlink"/>
      <w:u w:val="single"/>
    </w:rPr>
  </w:style>
  <w:style w:type="character" w:styleId="MenoPendente">
    <w:name w:val="Unresolved Mention"/>
    <w:basedOn w:val="Fontepargpadro"/>
    <w:uiPriority w:val="99"/>
    <w:semiHidden/>
    <w:unhideWhenUsed/>
    <w:rsid w:val="003C668B"/>
    <w:rPr>
      <w:color w:val="605E5C"/>
      <w:shd w:val="clear" w:color="auto" w:fill="E1DFDD"/>
    </w:rPr>
  </w:style>
  <w:style w:type="paragraph" w:styleId="Cabealho">
    <w:name w:val="header"/>
    <w:basedOn w:val="Normal"/>
    <w:link w:val="CabealhoChar"/>
    <w:uiPriority w:val="99"/>
    <w:unhideWhenUsed/>
    <w:rsid w:val="003C668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C668B"/>
  </w:style>
  <w:style w:type="paragraph" w:styleId="Rodap">
    <w:name w:val="footer"/>
    <w:basedOn w:val="Normal"/>
    <w:link w:val="RodapChar"/>
    <w:uiPriority w:val="99"/>
    <w:unhideWhenUsed/>
    <w:rsid w:val="003C668B"/>
    <w:pPr>
      <w:tabs>
        <w:tab w:val="center" w:pos="4252"/>
        <w:tab w:val="right" w:pos="8504"/>
      </w:tabs>
      <w:spacing w:after="0" w:line="240" w:lineRule="auto"/>
    </w:pPr>
  </w:style>
  <w:style w:type="character" w:customStyle="1" w:styleId="RodapChar">
    <w:name w:val="Rodapé Char"/>
    <w:basedOn w:val="Fontepargpadro"/>
    <w:link w:val="Rodap"/>
    <w:uiPriority w:val="99"/>
    <w:rsid w:val="003C66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empresas-e-negocios/pt-br/empreendedor"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controle.estoque@tjmt.jus.br"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078CD9D5A84BF45A79485737130D960" ma:contentTypeVersion="15" ma:contentTypeDescription="Crie um novo documento." ma:contentTypeScope="" ma:versionID="c73251962dc651c0491f8a5aa7d779a3">
  <xsd:schema xmlns:xsd="http://www.w3.org/2001/XMLSchema" xmlns:xs="http://www.w3.org/2001/XMLSchema" xmlns:p="http://schemas.microsoft.com/office/2006/metadata/properties" xmlns:ns2="11fb0fcf-4c21-42f6-9c50-ce3bc9e3a9d2" xmlns:ns3="76e2ef3f-3702-49dc-a38f-b9dbdc0834c6" targetNamespace="http://schemas.microsoft.com/office/2006/metadata/properties" ma:root="true" ma:fieldsID="40db3ae78c47170bdd33e01738ea5a22" ns2:_="" ns3:_="">
    <xsd:import namespace="11fb0fcf-4c21-42f6-9c50-ce3bc9e3a9d2"/>
    <xsd:import namespace="76e2ef3f-3702-49dc-a38f-b9dbdc0834c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b0fcf-4c21-42f6-9c50-ce3bc9e3a9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6c061fea-d88a-4cec-9c75-8e75291bb1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2ef3f-3702-49dc-a38f-b9dbdc0834c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5" nillable="true" ma:displayName="Taxonomy Catch All Column" ma:hidden="true" ma:list="{6a145f3e-aac5-40f3-a7f1-ba2ebfc26cb5}" ma:internalName="TaxCatchAll" ma:showField="CatchAllData" ma:web="76e2ef3f-3702-49dc-a38f-b9dbdc0834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6e2ef3f-3702-49dc-a38f-b9dbdc0834c6" xsi:nil="true"/>
    <lcf76f155ced4ddcb4097134ff3c332f xmlns="11fb0fcf-4c21-42f6-9c50-ce3bc9e3a9d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9E0A5A-8919-4685-B855-30F08AF4AC3D}"/>
</file>

<file path=customXml/itemProps2.xml><?xml version="1.0" encoding="utf-8"?>
<ds:datastoreItem xmlns:ds="http://schemas.openxmlformats.org/officeDocument/2006/customXml" ds:itemID="{2FE95775-5B39-45EF-951E-E9970C598CAB}"/>
</file>

<file path=customXml/itemProps3.xml><?xml version="1.0" encoding="utf-8"?>
<ds:datastoreItem xmlns:ds="http://schemas.openxmlformats.org/officeDocument/2006/customXml" ds:itemID="{DF950AC7-EE6A-4E9E-A0C9-2CF5AE1C1979}"/>
</file>

<file path=docProps/app.xml><?xml version="1.0" encoding="utf-8"?>
<Properties xmlns="http://schemas.openxmlformats.org/officeDocument/2006/extended-properties" xmlns:vt="http://schemas.openxmlformats.org/officeDocument/2006/docPropsVTypes">
  <Template>Normal</Template>
  <TotalTime>1</TotalTime>
  <Pages>19</Pages>
  <Words>4933</Words>
  <Characters>26643</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Tribunal de Justica de Estado de Mato Grosso</Company>
  <LinksUpToDate>false</LinksUpToDate>
  <CharactersWithSpaces>31513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JOILSON GONÇALO DE AMORIM</dc:creator>
  <cp:keywords/>
  <dc:description/>
  <cp:lastModifiedBy>Fabio Cezar De Mattos</cp:lastModifiedBy>
  <cp:revision>2</cp:revision>
  <dcterms:created xsi:type="dcterms:W3CDTF">2026-06-01T22:28:00Z</dcterms:created>
  <dcterms:modified xsi:type="dcterms:W3CDTF">2026-06-01T22:28:00Z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0x0101006078CD9D5A84BF45A79485737130D960</vt:lpwstr>
  </property>
</Properties>
</file>